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77078" w14:textId="0867EDAC" w:rsidR="00231A45" w:rsidRPr="004870C7" w:rsidRDefault="000C4354" w:rsidP="00B83D17">
      <w:pPr>
        <w:spacing w:after="0"/>
        <w:jc w:val="left"/>
        <w:rPr>
          <w:szCs w:val="20"/>
        </w:rPr>
      </w:pPr>
      <w:bookmarkStart w:id="0" w:name="Annex1"/>
      <w:r w:rsidRPr="004870C7">
        <w:rPr>
          <w:noProof/>
        </w:rPr>
        <w:drawing>
          <wp:anchor distT="0" distB="0" distL="114300" distR="114300" simplePos="0" relativeHeight="251658241" behindDoc="0" locked="0" layoutInCell="1" allowOverlap="1" wp14:anchorId="5AD922C4" wp14:editId="57179690">
            <wp:simplePos x="0" y="0"/>
            <wp:positionH relativeFrom="margin">
              <wp:posOffset>0</wp:posOffset>
            </wp:positionH>
            <wp:positionV relativeFrom="paragraph">
              <wp:posOffset>-1905</wp:posOffset>
            </wp:positionV>
            <wp:extent cx="647065" cy="1380490"/>
            <wp:effectExtent l="0" t="0" r="0" b="0"/>
            <wp:wrapNone/>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pic:spPr>
                </pic:pic>
              </a:graphicData>
            </a:graphic>
            <wp14:sizeRelH relativeFrom="page">
              <wp14:pctWidth>0</wp14:pctWidth>
            </wp14:sizeRelH>
            <wp14:sizeRelV relativeFrom="page">
              <wp14:pctHeight>0</wp14:pctHeight>
            </wp14:sizeRelV>
          </wp:anchor>
        </w:drawing>
      </w:r>
      <w:r w:rsidRPr="004870C7">
        <w:rPr>
          <w:noProof/>
        </w:rPr>
        <w:drawing>
          <wp:anchor distT="0" distB="0" distL="114300" distR="114300" simplePos="0" relativeHeight="251658242" behindDoc="1" locked="0" layoutInCell="1" allowOverlap="1" wp14:anchorId="3EF7F897" wp14:editId="4A08905F">
            <wp:simplePos x="0" y="0"/>
            <wp:positionH relativeFrom="margin">
              <wp:posOffset>5229225</wp:posOffset>
            </wp:positionH>
            <wp:positionV relativeFrom="paragraph">
              <wp:posOffset>-1905</wp:posOffset>
            </wp:positionV>
            <wp:extent cx="709930" cy="818515"/>
            <wp:effectExtent l="0" t="0" r="0" b="0"/>
            <wp:wrapTight wrapText="bothSides">
              <wp:wrapPolygon edited="0">
                <wp:start x="0" y="0"/>
                <wp:lineTo x="0" y="21114"/>
                <wp:lineTo x="20866" y="21114"/>
                <wp:lineTo x="20866" y="0"/>
                <wp:lineTo x="0" y="0"/>
              </wp:wrapPolygon>
            </wp:wrapTight>
            <wp:docPr id="40"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5692B157" w14:textId="0AEE9CAF" w:rsidR="00231A45" w:rsidRPr="004870C7" w:rsidRDefault="00AB5018" w:rsidP="00CE72C2">
      <w:pPr>
        <w:spacing w:after="120"/>
        <w:ind w:left="2160" w:firstLine="720"/>
        <w:rPr>
          <w:rFonts w:cs="Arial"/>
          <w:b/>
          <w:i/>
          <w:szCs w:val="22"/>
        </w:rPr>
      </w:pPr>
      <w:r w:rsidRPr="004870C7">
        <w:rPr>
          <w:rFonts w:cs="Arial"/>
          <w:b/>
          <w:i/>
          <w:szCs w:val="22"/>
        </w:rPr>
        <w:t xml:space="preserve">                      </w:t>
      </w:r>
      <w:r w:rsidRPr="004870C7">
        <w:rPr>
          <w:rFonts w:cs="Arial"/>
          <w:b/>
          <w:i/>
          <w:noProof/>
          <w:szCs w:val="22"/>
        </w:rPr>
        <w:drawing>
          <wp:inline distT="0" distB="0" distL="0" distR="0" wp14:anchorId="0D633D69" wp14:editId="13458D3B">
            <wp:extent cx="1245870" cy="1234018"/>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4740" cy="1242804"/>
                    </a:xfrm>
                    <a:prstGeom prst="rect">
                      <a:avLst/>
                    </a:prstGeom>
                    <a:noFill/>
                  </pic:spPr>
                </pic:pic>
              </a:graphicData>
            </a:graphic>
          </wp:inline>
        </w:drawing>
      </w:r>
    </w:p>
    <w:p w14:paraId="54AA3949" w14:textId="77777777" w:rsidR="00231A45" w:rsidRPr="004870C7" w:rsidRDefault="00231A45" w:rsidP="00CE72C2">
      <w:pPr>
        <w:spacing w:after="120"/>
        <w:ind w:left="2160" w:firstLine="720"/>
        <w:rPr>
          <w:rFonts w:cs="Arial"/>
          <w:b/>
          <w:i/>
          <w:szCs w:val="22"/>
        </w:rPr>
      </w:pPr>
    </w:p>
    <w:p w14:paraId="3E7C35C1" w14:textId="77777777" w:rsidR="00E3519C" w:rsidRPr="004870C7" w:rsidRDefault="00E1433A" w:rsidP="00231A45">
      <w:pPr>
        <w:spacing w:after="240"/>
        <w:jc w:val="center"/>
        <w:rPr>
          <w:rFonts w:cs="Arial"/>
          <w:b/>
          <w:szCs w:val="22"/>
        </w:rPr>
      </w:pPr>
      <w:r w:rsidRPr="004870C7">
        <w:rPr>
          <w:rFonts w:cs="Arial"/>
          <w:b/>
          <w:szCs w:val="22"/>
        </w:rPr>
        <w:t>United Nations Development Programme</w:t>
      </w:r>
    </w:p>
    <w:p w14:paraId="3E26FF4F" w14:textId="3F4FCCF4" w:rsidR="00DF11B5" w:rsidRPr="004870C7" w:rsidRDefault="001754B1" w:rsidP="00231A45">
      <w:pPr>
        <w:spacing w:after="0"/>
        <w:jc w:val="center"/>
        <w:rPr>
          <w:rFonts w:cs="Arial"/>
          <w:b/>
          <w:szCs w:val="22"/>
        </w:rPr>
      </w:pPr>
      <w:r w:rsidRPr="004870C7">
        <w:rPr>
          <w:rFonts w:cs="Arial"/>
          <w:b/>
          <w:szCs w:val="22"/>
        </w:rPr>
        <w:t xml:space="preserve">Project Document </w:t>
      </w:r>
      <w:r w:rsidR="00AA4E57" w:rsidRPr="004870C7">
        <w:rPr>
          <w:rFonts w:cs="Arial"/>
          <w:b/>
          <w:szCs w:val="22"/>
        </w:rPr>
        <w:t xml:space="preserve">template </w:t>
      </w:r>
      <w:r w:rsidRPr="004870C7">
        <w:rPr>
          <w:rFonts w:cs="Arial"/>
          <w:b/>
          <w:szCs w:val="22"/>
        </w:rPr>
        <w:t xml:space="preserve">for </w:t>
      </w:r>
      <w:r w:rsidR="000B3D4F" w:rsidRPr="004870C7">
        <w:rPr>
          <w:rFonts w:cs="Arial"/>
          <w:b/>
          <w:szCs w:val="22"/>
        </w:rPr>
        <w:t>projects</w:t>
      </w:r>
    </w:p>
    <w:p w14:paraId="791D5D80" w14:textId="77777777" w:rsidR="000230A3" w:rsidRPr="004870C7" w:rsidRDefault="000B3D4F" w:rsidP="00231A45">
      <w:pPr>
        <w:spacing w:after="0"/>
        <w:jc w:val="center"/>
        <w:rPr>
          <w:rFonts w:cs="Arial"/>
          <w:b/>
          <w:szCs w:val="22"/>
        </w:rPr>
      </w:pPr>
      <w:r w:rsidRPr="004870C7">
        <w:rPr>
          <w:rFonts w:cs="Arial"/>
          <w:b/>
          <w:szCs w:val="22"/>
        </w:rPr>
        <w:t xml:space="preserve">financed by the </w:t>
      </w:r>
      <w:r w:rsidR="0099420C" w:rsidRPr="004870C7">
        <w:rPr>
          <w:rFonts w:cs="Arial"/>
          <w:b/>
          <w:szCs w:val="22"/>
        </w:rPr>
        <w:t xml:space="preserve">various </w:t>
      </w:r>
      <w:r w:rsidR="00E3519C" w:rsidRPr="004870C7">
        <w:rPr>
          <w:rFonts w:cs="Arial"/>
          <w:b/>
          <w:szCs w:val="22"/>
        </w:rPr>
        <w:t>GEF</w:t>
      </w:r>
      <w:r w:rsidR="00DF11B5" w:rsidRPr="004870C7">
        <w:rPr>
          <w:rFonts w:cs="Arial"/>
          <w:b/>
          <w:szCs w:val="22"/>
        </w:rPr>
        <w:t xml:space="preserve"> Trust Funds</w:t>
      </w:r>
    </w:p>
    <w:p w14:paraId="7698F59A" w14:textId="77777777" w:rsidR="00DF11B5" w:rsidRPr="004870C7" w:rsidRDefault="00DF11B5" w:rsidP="000B3D4F">
      <w:pPr>
        <w:spacing w:after="0"/>
        <w:jc w:val="left"/>
        <w:rPr>
          <w:rFonts w:cs="Arial"/>
          <w:b/>
          <w:i/>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626"/>
        <w:gridCol w:w="450"/>
        <w:gridCol w:w="1170"/>
        <w:gridCol w:w="177"/>
        <w:gridCol w:w="3423"/>
      </w:tblGrid>
      <w:tr w:rsidR="00B270EB" w:rsidRPr="004870C7" w14:paraId="266A3836" w14:textId="77777777" w:rsidTr="0003763F">
        <w:trPr>
          <w:trHeight w:val="548"/>
        </w:trPr>
        <w:tc>
          <w:tcPr>
            <w:tcW w:w="9355" w:type="dxa"/>
            <w:gridSpan w:val="6"/>
            <w:shd w:val="clear" w:color="auto" w:fill="auto"/>
          </w:tcPr>
          <w:p w14:paraId="651309C2" w14:textId="3F327998" w:rsidR="00B270EB" w:rsidRPr="004870C7" w:rsidRDefault="00235AE4" w:rsidP="0003763F">
            <w:pPr>
              <w:spacing w:after="240"/>
              <w:jc w:val="left"/>
              <w:rPr>
                <w:rFonts w:cs="Arial"/>
                <w:b/>
                <w:szCs w:val="20"/>
              </w:rPr>
            </w:pPr>
            <w:r w:rsidRPr="004870C7">
              <w:rPr>
                <w:rFonts w:cs="Arial"/>
                <w:b/>
                <w:szCs w:val="20"/>
              </w:rPr>
              <w:t xml:space="preserve">Project title:  </w:t>
            </w:r>
            <w:r w:rsidR="001963E3" w:rsidRPr="004870C7">
              <w:rPr>
                <w:rFonts w:cs="Arial"/>
                <w:i/>
                <w:szCs w:val="20"/>
              </w:rPr>
              <w:t>Development of the Fourth National Communication and the First Biennial Transparency Report of Montenegro to the UNFCCC</w:t>
            </w:r>
          </w:p>
        </w:tc>
      </w:tr>
      <w:tr w:rsidR="008F17B9" w:rsidRPr="004870C7" w14:paraId="034B8EC7" w14:textId="77777777" w:rsidTr="00645A9F">
        <w:trPr>
          <w:trHeight w:val="1007"/>
        </w:trPr>
        <w:tc>
          <w:tcPr>
            <w:tcW w:w="2509" w:type="dxa"/>
            <w:shd w:val="clear" w:color="auto" w:fill="auto"/>
          </w:tcPr>
          <w:p w14:paraId="53FB3633" w14:textId="18AEECF7" w:rsidR="008F17B9" w:rsidRPr="004870C7" w:rsidRDefault="008F17B9" w:rsidP="0003763F">
            <w:pPr>
              <w:spacing w:after="240"/>
              <w:jc w:val="left"/>
              <w:rPr>
                <w:rFonts w:cs="Arial"/>
                <w:b/>
                <w:szCs w:val="20"/>
              </w:rPr>
            </w:pPr>
            <w:r w:rsidRPr="004870C7">
              <w:rPr>
                <w:rFonts w:cs="Arial"/>
                <w:b/>
                <w:szCs w:val="20"/>
              </w:rPr>
              <w:t xml:space="preserve">Country(ies): </w:t>
            </w:r>
            <w:r w:rsidR="001F14F9" w:rsidRPr="004870C7">
              <w:rPr>
                <w:rFonts w:cs="Arial"/>
                <w:b/>
                <w:szCs w:val="20"/>
              </w:rPr>
              <w:t>Montenegro</w:t>
            </w:r>
          </w:p>
        </w:tc>
        <w:tc>
          <w:tcPr>
            <w:tcW w:w="3423" w:type="dxa"/>
            <w:gridSpan w:val="4"/>
            <w:shd w:val="clear" w:color="auto" w:fill="auto"/>
          </w:tcPr>
          <w:p w14:paraId="675B2069" w14:textId="4F5AF440" w:rsidR="008F17B9" w:rsidRPr="004870C7" w:rsidRDefault="008F17B9" w:rsidP="00C35E32">
            <w:pPr>
              <w:spacing w:after="0"/>
              <w:jc w:val="left"/>
              <w:rPr>
                <w:rStyle w:val="Hyperlink"/>
                <w:rFonts w:cs="Arial"/>
                <w:i/>
                <w:szCs w:val="20"/>
                <w:highlight w:val="yellow"/>
              </w:rPr>
            </w:pPr>
            <w:r w:rsidRPr="004870C7">
              <w:rPr>
                <w:rFonts w:cs="Arial"/>
                <w:b/>
                <w:szCs w:val="20"/>
              </w:rPr>
              <w:t>Implementing Partner</w:t>
            </w:r>
            <w:r w:rsidR="00871AD6" w:rsidRPr="004870C7">
              <w:rPr>
                <w:rFonts w:cs="Arial"/>
                <w:b/>
                <w:szCs w:val="20"/>
              </w:rPr>
              <w:t xml:space="preserve"> (GEF Executing Entity)</w:t>
            </w:r>
            <w:r w:rsidRPr="004870C7">
              <w:rPr>
                <w:rFonts w:cs="Arial"/>
                <w:b/>
                <w:szCs w:val="20"/>
              </w:rPr>
              <w:t xml:space="preserve">:  </w:t>
            </w:r>
            <w:r w:rsidR="001963E3" w:rsidRPr="004870C7">
              <w:rPr>
                <w:rFonts w:cs="Arial"/>
                <w:i/>
                <w:szCs w:val="20"/>
              </w:rPr>
              <w:t>Ministry of Ecology, Spatial Planning and Urbanism</w:t>
            </w:r>
          </w:p>
        </w:tc>
        <w:tc>
          <w:tcPr>
            <w:tcW w:w="3423" w:type="dxa"/>
            <w:shd w:val="clear" w:color="auto" w:fill="auto"/>
          </w:tcPr>
          <w:p w14:paraId="2DF74CD7" w14:textId="75DED590" w:rsidR="008F17B9" w:rsidRPr="004870C7" w:rsidRDefault="008F17B9" w:rsidP="0003763F">
            <w:pPr>
              <w:spacing w:after="240"/>
              <w:jc w:val="left"/>
              <w:rPr>
                <w:rFonts w:cs="Arial"/>
                <w:i/>
                <w:szCs w:val="20"/>
              </w:rPr>
            </w:pPr>
            <w:r w:rsidRPr="004870C7">
              <w:rPr>
                <w:rFonts w:cs="Arial"/>
                <w:b/>
                <w:szCs w:val="20"/>
              </w:rPr>
              <w:t>Execution Modality</w:t>
            </w:r>
            <w:r w:rsidRPr="004870C7">
              <w:rPr>
                <w:rFonts w:cs="Arial"/>
                <w:i/>
                <w:szCs w:val="20"/>
              </w:rPr>
              <w:t xml:space="preserve">: </w:t>
            </w:r>
            <w:r w:rsidR="001963E3" w:rsidRPr="004870C7">
              <w:rPr>
                <w:rFonts w:cs="Arial"/>
                <w:i/>
                <w:szCs w:val="20"/>
              </w:rPr>
              <w:t>N</w:t>
            </w:r>
            <w:r w:rsidR="004A40AA" w:rsidRPr="004870C7">
              <w:rPr>
                <w:rFonts w:cs="Arial"/>
                <w:i/>
                <w:szCs w:val="20"/>
              </w:rPr>
              <w:t xml:space="preserve">ational </w:t>
            </w:r>
            <w:r w:rsidR="006D5E55" w:rsidRPr="004870C7">
              <w:rPr>
                <w:rFonts w:cs="Arial"/>
                <w:i/>
                <w:szCs w:val="20"/>
              </w:rPr>
              <w:t xml:space="preserve">Implementation Modality </w:t>
            </w:r>
            <w:r w:rsidR="001F14F9" w:rsidRPr="004870C7">
              <w:rPr>
                <w:rFonts w:cs="Arial"/>
                <w:i/>
                <w:szCs w:val="20"/>
              </w:rPr>
              <w:t>(</w:t>
            </w:r>
            <w:r w:rsidR="00D020A4" w:rsidRPr="004870C7">
              <w:rPr>
                <w:rFonts w:cs="Arial"/>
                <w:i/>
                <w:szCs w:val="20"/>
              </w:rPr>
              <w:t>NIM</w:t>
            </w:r>
            <w:r w:rsidR="001F14F9" w:rsidRPr="004870C7">
              <w:rPr>
                <w:rFonts w:cs="Arial"/>
                <w:i/>
                <w:szCs w:val="20"/>
              </w:rPr>
              <w:t>)</w:t>
            </w:r>
            <w:r w:rsidR="004A40AA" w:rsidRPr="004870C7">
              <w:rPr>
                <w:rFonts w:cs="Arial"/>
                <w:i/>
                <w:szCs w:val="20"/>
              </w:rPr>
              <w:t xml:space="preserve"> </w:t>
            </w:r>
          </w:p>
        </w:tc>
      </w:tr>
      <w:tr w:rsidR="0077088A" w:rsidRPr="004870C7" w14:paraId="1ACDB75F" w14:textId="77777777" w:rsidTr="0003763F">
        <w:tc>
          <w:tcPr>
            <w:tcW w:w="9355" w:type="dxa"/>
            <w:gridSpan w:val="6"/>
            <w:shd w:val="clear" w:color="auto" w:fill="auto"/>
          </w:tcPr>
          <w:p w14:paraId="04B12464" w14:textId="5D0B0A74" w:rsidR="0077088A" w:rsidRPr="004870C7" w:rsidRDefault="0077088A" w:rsidP="0003763F">
            <w:pPr>
              <w:spacing w:after="240"/>
              <w:jc w:val="left"/>
              <w:rPr>
                <w:rFonts w:cs="Arial"/>
                <w:b/>
                <w:szCs w:val="20"/>
              </w:rPr>
            </w:pPr>
            <w:r w:rsidRPr="004870C7">
              <w:rPr>
                <w:rFonts w:cs="Arial"/>
                <w:b/>
                <w:szCs w:val="20"/>
              </w:rPr>
              <w:t>Co</w:t>
            </w:r>
            <w:r w:rsidR="0022541B" w:rsidRPr="004870C7">
              <w:rPr>
                <w:rFonts w:cs="Arial"/>
                <w:b/>
                <w:szCs w:val="20"/>
              </w:rPr>
              <w:t xml:space="preserve">ntributing </w:t>
            </w:r>
            <w:r w:rsidRPr="004870C7">
              <w:rPr>
                <w:rFonts w:cs="Arial"/>
                <w:b/>
                <w:szCs w:val="20"/>
              </w:rPr>
              <w:t>Outcome</w:t>
            </w:r>
            <w:r w:rsidR="0022541B" w:rsidRPr="004870C7">
              <w:rPr>
                <w:rFonts w:cs="Arial"/>
                <w:b/>
                <w:szCs w:val="20"/>
              </w:rPr>
              <w:t xml:space="preserve"> (UNDAF/CPD, RPD, GPD)</w:t>
            </w:r>
            <w:r w:rsidRPr="004870C7">
              <w:rPr>
                <w:rFonts w:cs="Arial"/>
                <w:i/>
                <w:szCs w:val="20"/>
              </w:rPr>
              <w:t xml:space="preserve">: </w:t>
            </w:r>
            <w:r w:rsidR="001963E3" w:rsidRPr="004870C7">
              <w:rPr>
                <w:rFonts w:cs="Arial"/>
                <w:i/>
                <w:szCs w:val="20"/>
              </w:rPr>
              <w:t>CPD Outcome 2: By 2021, the people of Montenegro are benefiting from sustainable management of cultural and natural resources, combating climate change, and disaster-risk reduction.</w:t>
            </w:r>
          </w:p>
        </w:tc>
      </w:tr>
      <w:tr w:rsidR="0077088A" w:rsidRPr="004870C7" w14:paraId="3521882F" w14:textId="77777777" w:rsidTr="00024A75">
        <w:trPr>
          <w:trHeight w:val="1385"/>
        </w:trPr>
        <w:tc>
          <w:tcPr>
            <w:tcW w:w="4585" w:type="dxa"/>
            <w:gridSpan w:val="3"/>
            <w:shd w:val="clear" w:color="auto" w:fill="auto"/>
          </w:tcPr>
          <w:p w14:paraId="0882DD18" w14:textId="77777777" w:rsidR="00024A75" w:rsidRPr="004870C7" w:rsidRDefault="0077088A" w:rsidP="00763EFB">
            <w:pPr>
              <w:spacing w:after="240"/>
              <w:jc w:val="left"/>
              <w:rPr>
                <w:rFonts w:cs="Arial"/>
                <w:b/>
                <w:szCs w:val="20"/>
              </w:rPr>
            </w:pPr>
            <w:r w:rsidRPr="004870C7">
              <w:rPr>
                <w:rFonts w:cs="Arial"/>
                <w:b/>
                <w:szCs w:val="20"/>
              </w:rPr>
              <w:t xml:space="preserve">UNDP Social and Environmental Screening Category:  </w:t>
            </w:r>
          </w:p>
          <w:p w14:paraId="610073F8" w14:textId="00B3E855" w:rsidR="003E4B9D" w:rsidRPr="004870C7" w:rsidRDefault="001963E3" w:rsidP="00024A75">
            <w:pPr>
              <w:spacing w:after="240"/>
              <w:jc w:val="left"/>
              <w:rPr>
                <w:rFonts w:cs="Arial"/>
                <w:i/>
                <w:szCs w:val="20"/>
              </w:rPr>
            </w:pPr>
            <w:r w:rsidRPr="004870C7">
              <w:rPr>
                <w:rFonts w:cs="Arial"/>
                <w:i/>
                <w:szCs w:val="20"/>
              </w:rPr>
              <w:t>exempt from the SESP</w:t>
            </w:r>
            <w:r w:rsidR="00024A75" w:rsidRPr="004870C7">
              <w:rPr>
                <w:rStyle w:val="FootnoteReference"/>
                <w:i/>
                <w:szCs w:val="20"/>
              </w:rPr>
              <w:footnoteReference w:id="2"/>
            </w:r>
            <w:r w:rsidRPr="004870C7">
              <w:rPr>
                <w:rFonts w:cs="Arial"/>
                <w:i/>
                <w:szCs w:val="20"/>
              </w:rPr>
              <w:t xml:space="preserve"> </w:t>
            </w:r>
          </w:p>
        </w:tc>
        <w:tc>
          <w:tcPr>
            <w:tcW w:w="4770" w:type="dxa"/>
            <w:gridSpan w:val="3"/>
            <w:shd w:val="clear" w:color="auto" w:fill="auto"/>
          </w:tcPr>
          <w:p w14:paraId="696DD216" w14:textId="34967558" w:rsidR="002478E0" w:rsidRPr="004870C7" w:rsidRDefault="0077088A" w:rsidP="002478E0">
            <w:pPr>
              <w:spacing w:after="240"/>
              <w:jc w:val="left"/>
              <w:rPr>
                <w:i/>
              </w:rPr>
            </w:pPr>
            <w:r w:rsidRPr="004870C7">
              <w:rPr>
                <w:rFonts w:cs="Arial"/>
                <w:b/>
                <w:szCs w:val="20"/>
              </w:rPr>
              <w:t xml:space="preserve">UNDP Gender Marker: </w:t>
            </w:r>
            <w:r w:rsidR="002478E0" w:rsidRPr="004870C7">
              <w:rPr>
                <w:rFonts w:cs="Arial"/>
                <w:b/>
                <w:szCs w:val="20"/>
              </w:rPr>
              <w:t xml:space="preserve"> </w:t>
            </w:r>
            <w:r w:rsidR="002478E0" w:rsidRPr="004870C7">
              <w:rPr>
                <w:rFonts w:cs="Arial"/>
                <w:i/>
                <w:szCs w:val="20"/>
              </w:rPr>
              <w:t>GEN 2</w:t>
            </w:r>
          </w:p>
        </w:tc>
      </w:tr>
      <w:tr w:rsidR="0077088A" w:rsidRPr="004870C7" w14:paraId="57A3A4A9" w14:textId="77777777" w:rsidTr="0003763F">
        <w:tc>
          <w:tcPr>
            <w:tcW w:w="4585" w:type="dxa"/>
            <w:gridSpan w:val="3"/>
            <w:shd w:val="clear" w:color="auto" w:fill="auto"/>
          </w:tcPr>
          <w:p w14:paraId="62724605" w14:textId="0A220D84" w:rsidR="0053772A" w:rsidRPr="004870C7" w:rsidRDefault="0077088A" w:rsidP="0053772A">
            <w:pPr>
              <w:spacing w:after="240"/>
              <w:jc w:val="left"/>
              <w:rPr>
                <w:rFonts w:cs="Arial"/>
                <w:szCs w:val="20"/>
                <w:lang w:eastAsia="zh-CN"/>
              </w:rPr>
            </w:pPr>
            <w:r w:rsidRPr="004870C7">
              <w:rPr>
                <w:rFonts w:cs="Arial"/>
                <w:b/>
                <w:szCs w:val="20"/>
              </w:rPr>
              <w:t xml:space="preserve">Atlas </w:t>
            </w:r>
            <w:r w:rsidR="00BE3632" w:rsidRPr="004870C7">
              <w:rPr>
                <w:rFonts w:cs="Arial"/>
                <w:b/>
                <w:szCs w:val="20"/>
                <w:lang w:eastAsia="zh-CN"/>
              </w:rPr>
              <w:t xml:space="preserve">Award </w:t>
            </w:r>
            <w:r w:rsidR="00133018" w:rsidRPr="004870C7">
              <w:rPr>
                <w:rFonts w:cs="Arial"/>
                <w:b/>
                <w:szCs w:val="20"/>
                <w:lang w:eastAsia="zh-CN"/>
              </w:rPr>
              <w:t>ID</w:t>
            </w:r>
            <w:r w:rsidR="0053772A" w:rsidRPr="004870C7">
              <w:rPr>
                <w:rFonts w:cs="Arial"/>
                <w:b/>
                <w:szCs w:val="20"/>
              </w:rPr>
              <w:t>:</w:t>
            </w:r>
            <w:r w:rsidRPr="004870C7">
              <w:rPr>
                <w:rFonts w:cs="Arial"/>
                <w:b/>
                <w:szCs w:val="20"/>
              </w:rPr>
              <w:t xml:space="preserve">  </w:t>
            </w:r>
            <w:r w:rsidR="00426A4D" w:rsidRPr="004870C7">
              <w:rPr>
                <w:color w:val="000000"/>
              </w:rPr>
              <w:t>00130983</w:t>
            </w:r>
          </w:p>
        </w:tc>
        <w:tc>
          <w:tcPr>
            <w:tcW w:w="4770" w:type="dxa"/>
            <w:gridSpan w:val="3"/>
            <w:shd w:val="clear" w:color="auto" w:fill="auto"/>
          </w:tcPr>
          <w:p w14:paraId="54F50A94" w14:textId="104078D1" w:rsidR="0077088A" w:rsidRPr="004870C7" w:rsidRDefault="0077088A" w:rsidP="00D10E95">
            <w:pPr>
              <w:spacing w:after="0"/>
              <w:jc w:val="left"/>
              <w:rPr>
                <w:rFonts w:cs="Arial"/>
                <w:b/>
                <w:szCs w:val="20"/>
              </w:rPr>
            </w:pPr>
            <w:r w:rsidRPr="004870C7">
              <w:rPr>
                <w:rFonts w:cs="Arial"/>
                <w:b/>
                <w:szCs w:val="20"/>
              </w:rPr>
              <w:t xml:space="preserve">Atlas </w:t>
            </w:r>
            <w:r w:rsidR="00BE3632" w:rsidRPr="004870C7">
              <w:rPr>
                <w:rFonts w:cs="Arial"/>
                <w:b/>
                <w:szCs w:val="20"/>
              </w:rPr>
              <w:t>Project/</w:t>
            </w:r>
            <w:r w:rsidR="00133018" w:rsidRPr="004870C7">
              <w:rPr>
                <w:rFonts w:cs="Arial"/>
                <w:b/>
                <w:szCs w:val="20"/>
              </w:rPr>
              <w:t>O</w:t>
            </w:r>
            <w:r w:rsidRPr="004870C7">
              <w:rPr>
                <w:rFonts w:cs="Arial"/>
                <w:b/>
                <w:szCs w:val="20"/>
                <w:lang w:eastAsia="zh-CN"/>
              </w:rPr>
              <w:t>utput</w:t>
            </w:r>
            <w:r w:rsidR="00133018" w:rsidRPr="004870C7">
              <w:rPr>
                <w:rFonts w:cs="Arial"/>
                <w:b/>
                <w:szCs w:val="20"/>
                <w:lang w:eastAsia="zh-CN"/>
              </w:rPr>
              <w:t xml:space="preserve"> ID</w:t>
            </w:r>
            <w:r w:rsidRPr="004870C7">
              <w:rPr>
                <w:rFonts w:cs="Arial"/>
                <w:b/>
                <w:szCs w:val="20"/>
              </w:rPr>
              <w:t xml:space="preserve">:  </w:t>
            </w:r>
            <w:r w:rsidR="00426A4D" w:rsidRPr="004870C7">
              <w:rPr>
                <w:color w:val="000000"/>
              </w:rPr>
              <w:t>00124161</w:t>
            </w:r>
          </w:p>
        </w:tc>
      </w:tr>
      <w:tr w:rsidR="0077088A" w:rsidRPr="004870C7" w14:paraId="1DF4F63F" w14:textId="77777777" w:rsidTr="0003763F">
        <w:tc>
          <w:tcPr>
            <w:tcW w:w="4585" w:type="dxa"/>
            <w:gridSpan w:val="3"/>
            <w:shd w:val="clear" w:color="auto" w:fill="auto"/>
          </w:tcPr>
          <w:p w14:paraId="3BF0B984" w14:textId="230EAECA" w:rsidR="0077088A" w:rsidRPr="004870C7" w:rsidRDefault="0077088A" w:rsidP="0003763F">
            <w:pPr>
              <w:spacing w:after="240"/>
              <w:jc w:val="left"/>
              <w:rPr>
                <w:rFonts w:cs="Arial"/>
                <w:b/>
                <w:szCs w:val="20"/>
              </w:rPr>
            </w:pPr>
            <w:r w:rsidRPr="004870C7">
              <w:rPr>
                <w:rFonts w:cs="Arial"/>
                <w:b/>
                <w:szCs w:val="20"/>
              </w:rPr>
              <w:t>UNDP-GEF PIMS ID</w:t>
            </w:r>
            <w:r w:rsidR="0089430E" w:rsidRPr="004870C7">
              <w:rPr>
                <w:rFonts w:cs="Arial"/>
                <w:b/>
                <w:szCs w:val="20"/>
              </w:rPr>
              <w:t xml:space="preserve"> number</w:t>
            </w:r>
            <w:r w:rsidRPr="004870C7">
              <w:rPr>
                <w:rFonts w:cs="Arial"/>
                <w:b/>
                <w:szCs w:val="20"/>
              </w:rPr>
              <w:t xml:space="preserve">:  </w:t>
            </w:r>
            <w:r w:rsidR="00426A4D" w:rsidRPr="004870C7">
              <w:rPr>
                <w:color w:val="000000"/>
              </w:rPr>
              <w:t>6570</w:t>
            </w:r>
          </w:p>
        </w:tc>
        <w:tc>
          <w:tcPr>
            <w:tcW w:w="4770" w:type="dxa"/>
            <w:gridSpan w:val="3"/>
            <w:shd w:val="clear" w:color="auto" w:fill="auto"/>
          </w:tcPr>
          <w:p w14:paraId="1D09D9CB" w14:textId="7AD81560" w:rsidR="0077088A" w:rsidRPr="004870C7" w:rsidRDefault="0077088A" w:rsidP="0003763F">
            <w:pPr>
              <w:spacing w:after="240"/>
              <w:jc w:val="left"/>
              <w:rPr>
                <w:rFonts w:cs="Arial"/>
                <w:b/>
                <w:szCs w:val="20"/>
              </w:rPr>
            </w:pPr>
            <w:r w:rsidRPr="004870C7">
              <w:rPr>
                <w:rFonts w:cs="Arial"/>
                <w:b/>
                <w:szCs w:val="20"/>
              </w:rPr>
              <w:t>GEF</w:t>
            </w:r>
            <w:r w:rsidR="00ED625F" w:rsidRPr="004870C7">
              <w:rPr>
                <w:rFonts w:cs="Arial"/>
                <w:b/>
                <w:szCs w:val="20"/>
              </w:rPr>
              <w:t xml:space="preserve"> Project </w:t>
            </w:r>
            <w:r w:rsidRPr="004870C7">
              <w:rPr>
                <w:rFonts w:cs="Arial"/>
                <w:b/>
                <w:szCs w:val="20"/>
              </w:rPr>
              <w:t>ID</w:t>
            </w:r>
            <w:r w:rsidR="0089430E" w:rsidRPr="004870C7">
              <w:rPr>
                <w:rFonts w:cs="Arial"/>
                <w:b/>
                <w:szCs w:val="20"/>
              </w:rPr>
              <w:t xml:space="preserve"> number</w:t>
            </w:r>
            <w:r w:rsidRPr="004870C7">
              <w:rPr>
                <w:rFonts w:cs="Arial"/>
                <w:b/>
                <w:szCs w:val="20"/>
              </w:rPr>
              <w:t>:</w:t>
            </w:r>
            <w:r w:rsidR="002D2818" w:rsidRPr="004870C7">
              <w:rPr>
                <w:rFonts w:cs="Arial"/>
                <w:b/>
                <w:szCs w:val="20"/>
              </w:rPr>
              <w:t xml:space="preserve"> </w:t>
            </w:r>
            <w:r w:rsidR="00426A4D" w:rsidRPr="004870C7">
              <w:rPr>
                <w:color w:val="000000"/>
              </w:rPr>
              <w:t>10741</w:t>
            </w:r>
          </w:p>
        </w:tc>
      </w:tr>
      <w:tr w:rsidR="00CA6792" w:rsidRPr="004870C7" w14:paraId="286A8DAD" w14:textId="77777777" w:rsidTr="00CA6792">
        <w:trPr>
          <w:trHeight w:val="350"/>
        </w:trPr>
        <w:tc>
          <w:tcPr>
            <w:tcW w:w="9355" w:type="dxa"/>
            <w:gridSpan w:val="6"/>
            <w:shd w:val="clear" w:color="auto" w:fill="auto"/>
          </w:tcPr>
          <w:p w14:paraId="59979CE3" w14:textId="5587D256" w:rsidR="00CA6792" w:rsidRPr="004870C7" w:rsidRDefault="00CA6792" w:rsidP="0003763F">
            <w:pPr>
              <w:spacing w:after="240"/>
              <w:jc w:val="left"/>
              <w:rPr>
                <w:rFonts w:cs="Arial"/>
                <w:b/>
                <w:szCs w:val="20"/>
              </w:rPr>
            </w:pPr>
            <w:r w:rsidRPr="004870C7">
              <w:rPr>
                <w:rFonts w:cs="Arial"/>
                <w:b/>
                <w:szCs w:val="20"/>
              </w:rPr>
              <w:t xml:space="preserve">LPAC meeting date: </w:t>
            </w:r>
            <w:r w:rsidR="00BB7043" w:rsidRPr="006C1848">
              <w:rPr>
                <w:rFonts w:cs="Arial"/>
                <w:bCs/>
                <w:i/>
                <w:iCs/>
                <w:szCs w:val="20"/>
              </w:rPr>
              <w:t>August 2021</w:t>
            </w:r>
            <w:r w:rsidR="006C1848" w:rsidRPr="006C1848">
              <w:rPr>
                <w:rFonts w:cs="Arial"/>
                <w:bCs/>
                <w:i/>
                <w:iCs/>
                <w:szCs w:val="20"/>
              </w:rPr>
              <w:t xml:space="preserve"> (expected)</w:t>
            </w:r>
          </w:p>
        </w:tc>
      </w:tr>
      <w:tr w:rsidR="0007025D" w:rsidRPr="004870C7" w14:paraId="52295732" w14:textId="77777777" w:rsidTr="00CA6792">
        <w:trPr>
          <w:trHeight w:val="350"/>
        </w:trPr>
        <w:tc>
          <w:tcPr>
            <w:tcW w:w="9355" w:type="dxa"/>
            <w:gridSpan w:val="6"/>
            <w:shd w:val="clear" w:color="auto" w:fill="auto"/>
          </w:tcPr>
          <w:p w14:paraId="1AC9FE31" w14:textId="13051376" w:rsidR="0007025D" w:rsidRPr="004870C7" w:rsidRDefault="008800E4" w:rsidP="0003763F">
            <w:pPr>
              <w:spacing w:after="240"/>
              <w:jc w:val="left"/>
              <w:rPr>
                <w:rFonts w:cs="Arial"/>
                <w:b/>
                <w:szCs w:val="20"/>
              </w:rPr>
            </w:pPr>
            <w:r w:rsidRPr="004870C7">
              <w:rPr>
                <w:rFonts w:cs="Arial"/>
                <w:b/>
                <w:szCs w:val="20"/>
              </w:rPr>
              <w:t>Last possible date to s</w:t>
            </w:r>
            <w:r w:rsidR="0007025D" w:rsidRPr="004870C7">
              <w:rPr>
                <w:rFonts w:cs="Arial"/>
                <w:b/>
                <w:szCs w:val="20"/>
              </w:rPr>
              <w:t>ubmi</w:t>
            </w:r>
            <w:r w:rsidRPr="004870C7">
              <w:rPr>
                <w:rFonts w:cs="Arial"/>
                <w:b/>
                <w:szCs w:val="20"/>
              </w:rPr>
              <w:t>t</w:t>
            </w:r>
            <w:r w:rsidR="0007025D" w:rsidRPr="004870C7">
              <w:rPr>
                <w:rFonts w:cs="Arial"/>
                <w:b/>
                <w:szCs w:val="20"/>
              </w:rPr>
              <w:t xml:space="preserve"> to GEF: </w:t>
            </w:r>
            <w:r w:rsidR="00714CF7" w:rsidRPr="004870C7">
              <w:rPr>
                <w:rFonts w:cs="Arial"/>
                <w:bCs/>
                <w:color w:val="000000" w:themeColor="text1"/>
                <w:szCs w:val="20"/>
              </w:rPr>
              <w:t>N/A (this is Enabling Activity project)</w:t>
            </w:r>
          </w:p>
        </w:tc>
      </w:tr>
      <w:tr w:rsidR="008800E4" w:rsidRPr="004870C7" w14:paraId="67FA75FB" w14:textId="77777777" w:rsidTr="00CA6792">
        <w:trPr>
          <w:trHeight w:val="350"/>
        </w:trPr>
        <w:tc>
          <w:tcPr>
            <w:tcW w:w="9355" w:type="dxa"/>
            <w:gridSpan w:val="6"/>
            <w:shd w:val="clear" w:color="auto" w:fill="auto"/>
          </w:tcPr>
          <w:p w14:paraId="1702F840" w14:textId="55BD8398" w:rsidR="008800E4" w:rsidRPr="004870C7" w:rsidRDefault="008800E4" w:rsidP="0003763F">
            <w:pPr>
              <w:spacing w:after="240"/>
              <w:jc w:val="left"/>
              <w:rPr>
                <w:rFonts w:cs="Arial"/>
                <w:b/>
                <w:szCs w:val="20"/>
              </w:rPr>
            </w:pPr>
            <w:r w:rsidRPr="004870C7">
              <w:rPr>
                <w:rFonts w:cs="Arial"/>
                <w:b/>
                <w:szCs w:val="20"/>
              </w:rPr>
              <w:t xml:space="preserve">Latest possible CEO endorsement date: </w:t>
            </w:r>
            <w:r w:rsidR="00CA5EA8" w:rsidRPr="004870C7">
              <w:rPr>
                <w:rFonts w:cs="Arial"/>
                <w:iCs/>
                <w:szCs w:val="20"/>
              </w:rPr>
              <w:t>N/A</w:t>
            </w:r>
            <w:r w:rsidR="00DD715A" w:rsidRPr="004870C7">
              <w:rPr>
                <w:rFonts w:cs="Arial"/>
                <w:iCs/>
                <w:szCs w:val="20"/>
              </w:rPr>
              <w:t xml:space="preserve"> </w:t>
            </w:r>
            <w:r w:rsidR="00714CF7" w:rsidRPr="004870C7">
              <w:rPr>
                <w:rFonts w:cs="Arial"/>
                <w:iCs/>
                <w:color w:val="000000" w:themeColor="text1"/>
                <w:szCs w:val="20"/>
              </w:rPr>
              <w:t>(this is Enabling Activity project)</w:t>
            </w:r>
          </w:p>
        </w:tc>
      </w:tr>
      <w:tr w:rsidR="00854646" w:rsidRPr="004870C7" w14:paraId="72579241" w14:textId="77777777" w:rsidTr="00CA6792">
        <w:trPr>
          <w:trHeight w:val="350"/>
        </w:trPr>
        <w:tc>
          <w:tcPr>
            <w:tcW w:w="9355" w:type="dxa"/>
            <w:gridSpan w:val="6"/>
            <w:shd w:val="clear" w:color="auto" w:fill="auto"/>
          </w:tcPr>
          <w:p w14:paraId="3549FC0F" w14:textId="1458B602" w:rsidR="00854646" w:rsidRPr="004870C7" w:rsidRDefault="00854646" w:rsidP="0003763F">
            <w:pPr>
              <w:spacing w:after="240"/>
              <w:jc w:val="left"/>
              <w:rPr>
                <w:rFonts w:cs="Arial"/>
                <w:b/>
                <w:szCs w:val="20"/>
              </w:rPr>
            </w:pPr>
            <w:r w:rsidRPr="004870C7">
              <w:rPr>
                <w:rFonts w:cs="Arial"/>
                <w:b/>
                <w:szCs w:val="20"/>
              </w:rPr>
              <w:t xml:space="preserve">Project duration in months: </w:t>
            </w:r>
            <w:r w:rsidR="002478E0" w:rsidRPr="004870C7">
              <w:rPr>
                <w:rFonts w:cs="Arial"/>
                <w:bCs/>
                <w:szCs w:val="20"/>
              </w:rPr>
              <w:t>43 months</w:t>
            </w:r>
          </w:p>
        </w:tc>
      </w:tr>
      <w:tr w:rsidR="0077088A" w:rsidRPr="004870C7" w14:paraId="621CFD58" w14:textId="77777777" w:rsidTr="008800E4">
        <w:trPr>
          <w:trHeight w:val="710"/>
        </w:trPr>
        <w:tc>
          <w:tcPr>
            <w:tcW w:w="4585" w:type="dxa"/>
            <w:gridSpan w:val="3"/>
            <w:shd w:val="clear" w:color="auto" w:fill="auto"/>
          </w:tcPr>
          <w:p w14:paraId="0E8D0A02" w14:textId="5AC671A7" w:rsidR="0077088A" w:rsidRPr="004870C7" w:rsidRDefault="0077088A" w:rsidP="0003763F">
            <w:pPr>
              <w:spacing w:after="240"/>
              <w:jc w:val="left"/>
              <w:rPr>
                <w:rFonts w:cs="Arial"/>
                <w:b/>
                <w:szCs w:val="20"/>
              </w:rPr>
            </w:pPr>
            <w:r w:rsidRPr="004870C7">
              <w:rPr>
                <w:rFonts w:cs="Arial"/>
                <w:b/>
                <w:szCs w:val="20"/>
              </w:rPr>
              <w:t xml:space="preserve">Planned start date: </w:t>
            </w:r>
            <w:r w:rsidR="001A223B" w:rsidRPr="001A223B">
              <w:rPr>
                <w:rFonts w:cs="Arial"/>
                <w:bCs/>
                <w:i/>
                <w:iCs/>
                <w:szCs w:val="20"/>
              </w:rPr>
              <w:t>01</w:t>
            </w:r>
            <w:r w:rsidR="001A223B">
              <w:rPr>
                <w:rFonts w:cs="Arial"/>
                <w:b/>
                <w:szCs w:val="20"/>
              </w:rPr>
              <w:t xml:space="preserve"> </w:t>
            </w:r>
            <w:r w:rsidR="002478E0" w:rsidRPr="004870C7">
              <w:rPr>
                <w:rFonts w:cs="Arial"/>
                <w:i/>
                <w:szCs w:val="20"/>
              </w:rPr>
              <w:t>September 2021.</w:t>
            </w:r>
          </w:p>
        </w:tc>
        <w:tc>
          <w:tcPr>
            <w:tcW w:w="4770" w:type="dxa"/>
            <w:gridSpan w:val="3"/>
            <w:shd w:val="clear" w:color="auto" w:fill="auto"/>
          </w:tcPr>
          <w:p w14:paraId="53C5B0D0" w14:textId="20971DC6" w:rsidR="0077088A" w:rsidRPr="004870C7" w:rsidRDefault="0077088A" w:rsidP="0003763F">
            <w:pPr>
              <w:spacing w:after="240"/>
              <w:jc w:val="left"/>
              <w:rPr>
                <w:rFonts w:cs="Arial"/>
                <w:i/>
                <w:szCs w:val="20"/>
              </w:rPr>
            </w:pPr>
            <w:r w:rsidRPr="004870C7">
              <w:rPr>
                <w:rFonts w:cs="Arial"/>
                <w:b/>
                <w:szCs w:val="20"/>
              </w:rPr>
              <w:t xml:space="preserve">Planned end date:  </w:t>
            </w:r>
            <w:r w:rsidR="001A223B" w:rsidRPr="001A223B">
              <w:rPr>
                <w:rFonts w:cs="Arial"/>
                <w:bCs/>
                <w:i/>
                <w:iCs/>
                <w:szCs w:val="20"/>
              </w:rPr>
              <w:t>31</w:t>
            </w:r>
            <w:r w:rsidR="001A223B">
              <w:rPr>
                <w:rFonts w:cs="Arial"/>
                <w:b/>
                <w:szCs w:val="20"/>
              </w:rPr>
              <w:t xml:space="preserve"> </w:t>
            </w:r>
            <w:r w:rsidR="002478E0" w:rsidRPr="004870C7">
              <w:rPr>
                <w:rFonts w:cs="Arial"/>
                <w:i/>
                <w:szCs w:val="20"/>
              </w:rPr>
              <w:t>March 2025.</w:t>
            </w:r>
          </w:p>
        </w:tc>
      </w:tr>
      <w:tr w:rsidR="00D02EB4" w:rsidRPr="004870C7" w14:paraId="55F4B41B" w14:textId="77777777" w:rsidTr="005C6299">
        <w:tc>
          <w:tcPr>
            <w:tcW w:w="4585" w:type="dxa"/>
            <w:gridSpan w:val="3"/>
            <w:shd w:val="clear" w:color="auto" w:fill="auto"/>
          </w:tcPr>
          <w:p w14:paraId="0D2FF462" w14:textId="646C6BC7" w:rsidR="00480719" w:rsidRPr="004870C7" w:rsidRDefault="00D02EB4" w:rsidP="005C6299">
            <w:pPr>
              <w:spacing w:after="240"/>
              <w:jc w:val="left"/>
              <w:rPr>
                <w:rFonts w:cs="Arial"/>
                <w:i/>
                <w:szCs w:val="20"/>
              </w:rPr>
            </w:pPr>
            <w:r w:rsidRPr="004870C7">
              <w:rPr>
                <w:rFonts w:cs="Arial"/>
                <w:b/>
                <w:szCs w:val="20"/>
              </w:rPr>
              <w:t xml:space="preserve">Expected date of Mid-Term Review: </w:t>
            </w:r>
            <w:r w:rsidR="00D045CE" w:rsidRPr="004870C7">
              <w:rPr>
                <w:rFonts w:cs="Arial"/>
                <w:i/>
                <w:szCs w:val="20"/>
              </w:rPr>
              <w:t>N/A</w:t>
            </w:r>
          </w:p>
        </w:tc>
        <w:tc>
          <w:tcPr>
            <w:tcW w:w="4770" w:type="dxa"/>
            <w:gridSpan w:val="3"/>
            <w:shd w:val="clear" w:color="auto" w:fill="auto"/>
          </w:tcPr>
          <w:p w14:paraId="03BF1E29" w14:textId="78F8C837" w:rsidR="00D02EB4" w:rsidRPr="004870C7" w:rsidRDefault="00D02EB4" w:rsidP="005C6299">
            <w:pPr>
              <w:spacing w:after="240"/>
              <w:jc w:val="left"/>
              <w:rPr>
                <w:rFonts w:cs="Arial"/>
                <w:b/>
                <w:szCs w:val="20"/>
              </w:rPr>
            </w:pPr>
            <w:r w:rsidRPr="004870C7">
              <w:rPr>
                <w:rFonts w:cs="Arial"/>
                <w:b/>
                <w:szCs w:val="20"/>
              </w:rPr>
              <w:t xml:space="preserve">Expected date of Terminal evaluation: </w:t>
            </w:r>
            <w:r w:rsidR="00D045CE" w:rsidRPr="004870C7">
              <w:rPr>
                <w:rFonts w:cs="Arial"/>
                <w:i/>
                <w:szCs w:val="20"/>
              </w:rPr>
              <w:t>N/A</w:t>
            </w:r>
          </w:p>
        </w:tc>
      </w:tr>
      <w:tr w:rsidR="009E44C7" w:rsidRPr="004870C7" w14:paraId="1D08B1B5" w14:textId="77777777" w:rsidTr="0003763F">
        <w:tc>
          <w:tcPr>
            <w:tcW w:w="9355" w:type="dxa"/>
            <w:gridSpan w:val="6"/>
            <w:shd w:val="clear" w:color="auto" w:fill="auto"/>
          </w:tcPr>
          <w:p w14:paraId="51253FAD" w14:textId="38B45145" w:rsidR="009E44C7" w:rsidRPr="004870C7" w:rsidRDefault="009E44C7" w:rsidP="002872F3">
            <w:pPr>
              <w:spacing w:after="240"/>
              <w:jc w:val="left"/>
              <w:rPr>
                <w:rFonts w:cs="Arial"/>
                <w:b/>
                <w:szCs w:val="20"/>
              </w:rPr>
            </w:pPr>
            <w:r w:rsidRPr="004870C7">
              <w:rPr>
                <w:rFonts w:cs="Arial"/>
                <w:b/>
                <w:szCs w:val="20"/>
              </w:rPr>
              <w:lastRenderedPageBreak/>
              <w:t>Brief projec</w:t>
            </w:r>
            <w:r w:rsidR="00732F48" w:rsidRPr="004870C7">
              <w:rPr>
                <w:rFonts w:cs="Arial"/>
                <w:b/>
                <w:szCs w:val="20"/>
              </w:rPr>
              <w:t>t</w:t>
            </w:r>
            <w:r w:rsidRPr="004870C7">
              <w:rPr>
                <w:rFonts w:cs="Arial"/>
                <w:b/>
                <w:szCs w:val="20"/>
              </w:rPr>
              <w:t xml:space="preserve"> description:</w:t>
            </w:r>
            <w:r w:rsidR="0089430E" w:rsidRPr="004870C7">
              <w:rPr>
                <w:rFonts w:cs="Arial"/>
                <w:b/>
                <w:szCs w:val="20"/>
              </w:rPr>
              <w:t xml:space="preserve"> </w:t>
            </w:r>
            <w:r w:rsidR="002478E0" w:rsidRPr="004870C7">
              <w:rPr>
                <w:rFonts w:cs="Arial"/>
                <w:iCs/>
                <w:szCs w:val="20"/>
              </w:rPr>
              <w:t>As a signatory to the UNFCCC, Montenegro has been obliged to regularly report towards UNFCCC Secretariat on, among other</w:t>
            </w:r>
            <w:r w:rsidR="002872F3" w:rsidRPr="004870C7">
              <w:rPr>
                <w:rFonts w:cs="Arial"/>
                <w:iCs/>
                <w:szCs w:val="20"/>
              </w:rPr>
              <w:t xml:space="preserve"> info</w:t>
            </w:r>
            <w:r w:rsidR="0032777B" w:rsidRPr="004870C7">
              <w:rPr>
                <w:rFonts w:cs="Arial"/>
                <w:iCs/>
                <w:szCs w:val="20"/>
              </w:rPr>
              <w:t>rmation</w:t>
            </w:r>
            <w:r w:rsidR="002478E0" w:rsidRPr="004870C7">
              <w:rPr>
                <w:rFonts w:cs="Arial"/>
                <w:iCs/>
                <w:szCs w:val="20"/>
              </w:rPr>
              <w:t>: GHG Inventory, mitigation and adaptation climate actions, tracking</w:t>
            </w:r>
            <w:r w:rsidR="0032777B" w:rsidRPr="004870C7">
              <w:rPr>
                <w:rFonts w:cs="Arial"/>
                <w:iCs/>
                <w:szCs w:val="20"/>
              </w:rPr>
              <w:t xml:space="preserve"> the implementation and achievement of its Nationally Determined Contribution (NDC)</w:t>
            </w:r>
            <w:r w:rsidR="002478E0" w:rsidRPr="004870C7">
              <w:rPr>
                <w:rFonts w:cs="Arial"/>
                <w:iCs/>
                <w:szCs w:val="20"/>
              </w:rPr>
              <w:t xml:space="preserve"> </w:t>
            </w:r>
            <w:r w:rsidR="0032777B" w:rsidRPr="004870C7">
              <w:rPr>
                <w:rFonts w:cs="Arial"/>
                <w:iCs/>
                <w:szCs w:val="20"/>
              </w:rPr>
              <w:t>under the Paris Agreement</w:t>
            </w:r>
            <w:r w:rsidR="002478E0" w:rsidRPr="004870C7">
              <w:rPr>
                <w:rFonts w:cs="Arial"/>
                <w:iCs/>
                <w:szCs w:val="20"/>
              </w:rPr>
              <w:t>.</w:t>
            </w:r>
            <w:r w:rsidR="002872F3" w:rsidRPr="004870C7">
              <w:rPr>
                <w:rFonts w:cs="Arial"/>
                <w:iCs/>
                <w:szCs w:val="20"/>
              </w:rPr>
              <w:t xml:space="preserve"> With this project, </w:t>
            </w:r>
            <w:r w:rsidR="002872F3" w:rsidRPr="004870C7">
              <w:rPr>
                <w:rFonts w:cs="Arial"/>
                <w:bCs/>
                <w:iCs/>
                <w:szCs w:val="20"/>
              </w:rPr>
              <w:t>Government of Montenegro will be assisted in the preparation and submission of its Fourth National Communication and its First Biennial Transparency Report for the fulfilment of the obligations under the United Nations Framework Convention on Climate Change (UNFCCC).</w:t>
            </w:r>
          </w:p>
        </w:tc>
      </w:tr>
      <w:tr w:rsidR="0077088A" w:rsidRPr="004870C7" w14:paraId="28A6FA5D" w14:textId="77777777" w:rsidTr="000F797F">
        <w:trPr>
          <w:trHeight w:val="377"/>
        </w:trPr>
        <w:tc>
          <w:tcPr>
            <w:tcW w:w="9355" w:type="dxa"/>
            <w:gridSpan w:val="6"/>
            <w:shd w:val="clear" w:color="auto" w:fill="D9D9D9"/>
          </w:tcPr>
          <w:p w14:paraId="719628C5" w14:textId="4BAB864D" w:rsidR="0077088A" w:rsidRPr="004870C7" w:rsidRDefault="0077088A" w:rsidP="003B0AE6">
            <w:pPr>
              <w:rPr>
                <w:rFonts w:asciiTheme="minorHAnsi" w:hAnsiTheme="minorHAnsi" w:cs="Arial"/>
                <w:b/>
                <w:smallCaps/>
                <w:szCs w:val="20"/>
              </w:rPr>
            </w:pPr>
            <w:r w:rsidRPr="004870C7">
              <w:rPr>
                <w:rFonts w:asciiTheme="minorHAnsi" w:hAnsiTheme="minorHAnsi" w:cs="Arial"/>
                <w:b/>
                <w:smallCaps/>
                <w:szCs w:val="20"/>
              </w:rPr>
              <w:t>Financing Plan</w:t>
            </w:r>
            <w:r w:rsidR="00A13CA9" w:rsidRPr="004870C7">
              <w:rPr>
                <w:rFonts w:asciiTheme="minorHAnsi" w:hAnsiTheme="minorHAnsi" w:cs="Arial"/>
                <w:b/>
                <w:smallCaps/>
                <w:szCs w:val="20"/>
              </w:rPr>
              <w:t xml:space="preserve"> </w:t>
            </w:r>
          </w:p>
        </w:tc>
      </w:tr>
      <w:tr w:rsidR="0077088A" w:rsidRPr="004870C7" w14:paraId="635C43EE" w14:textId="77777777" w:rsidTr="0003763F">
        <w:tc>
          <w:tcPr>
            <w:tcW w:w="4585" w:type="dxa"/>
            <w:gridSpan w:val="3"/>
            <w:shd w:val="clear" w:color="auto" w:fill="auto"/>
          </w:tcPr>
          <w:p w14:paraId="28DF91BC" w14:textId="712F6173" w:rsidR="0077088A" w:rsidRPr="004870C7" w:rsidRDefault="0077088A" w:rsidP="0003763F">
            <w:pPr>
              <w:spacing w:after="240"/>
              <w:jc w:val="left"/>
              <w:rPr>
                <w:rFonts w:cs="Arial"/>
                <w:szCs w:val="20"/>
              </w:rPr>
            </w:pPr>
            <w:r w:rsidRPr="004870C7">
              <w:rPr>
                <w:rFonts w:cs="Arial"/>
                <w:szCs w:val="20"/>
              </w:rPr>
              <w:t>GEF Trust Fund</w:t>
            </w:r>
            <w:r w:rsidR="00EE6EA0" w:rsidRPr="004870C7">
              <w:rPr>
                <w:rFonts w:cs="Arial"/>
                <w:szCs w:val="20"/>
              </w:rPr>
              <w:t xml:space="preserve"> grant</w:t>
            </w:r>
          </w:p>
        </w:tc>
        <w:tc>
          <w:tcPr>
            <w:tcW w:w="4770" w:type="dxa"/>
            <w:gridSpan w:val="3"/>
            <w:shd w:val="clear" w:color="auto" w:fill="auto"/>
          </w:tcPr>
          <w:p w14:paraId="23E6ABDF" w14:textId="789E9489" w:rsidR="0077088A" w:rsidRPr="004870C7" w:rsidRDefault="00E54683" w:rsidP="0003763F">
            <w:pPr>
              <w:spacing w:after="240"/>
              <w:jc w:val="left"/>
              <w:rPr>
                <w:rFonts w:cs="Arial"/>
                <w:szCs w:val="20"/>
              </w:rPr>
            </w:pPr>
            <w:r w:rsidRPr="004870C7">
              <w:rPr>
                <w:rFonts w:cs="Arial"/>
                <w:szCs w:val="20"/>
              </w:rPr>
              <w:t xml:space="preserve">USD </w:t>
            </w:r>
            <w:r w:rsidR="002872F3" w:rsidRPr="004870C7">
              <w:rPr>
                <w:rFonts w:cs="Arial"/>
                <w:szCs w:val="20"/>
              </w:rPr>
              <w:t xml:space="preserve">517,000 </w:t>
            </w:r>
          </w:p>
        </w:tc>
      </w:tr>
      <w:tr w:rsidR="0077088A" w:rsidRPr="004870C7" w14:paraId="58EE269A" w14:textId="77777777" w:rsidTr="0003763F">
        <w:tc>
          <w:tcPr>
            <w:tcW w:w="4585" w:type="dxa"/>
            <w:gridSpan w:val="3"/>
            <w:shd w:val="clear" w:color="auto" w:fill="auto"/>
          </w:tcPr>
          <w:p w14:paraId="7CB4539D" w14:textId="77777777" w:rsidR="0077088A" w:rsidRPr="004870C7" w:rsidRDefault="0077088A" w:rsidP="00FA41FE">
            <w:pPr>
              <w:pStyle w:val="ListParagraph"/>
              <w:numPr>
                <w:ilvl w:val="0"/>
                <w:numId w:val="5"/>
              </w:numPr>
              <w:spacing w:after="240"/>
              <w:jc w:val="right"/>
              <w:rPr>
                <w:rFonts w:ascii="Calibri" w:hAnsi="Calibri" w:cs="Arial"/>
                <w:b/>
                <w:sz w:val="20"/>
                <w:szCs w:val="20"/>
              </w:rPr>
            </w:pPr>
            <w:r w:rsidRPr="004870C7">
              <w:rPr>
                <w:rFonts w:ascii="Calibri" w:hAnsi="Calibri" w:cs="Arial"/>
                <w:b/>
                <w:sz w:val="20"/>
                <w:szCs w:val="20"/>
                <w:lang w:eastAsia="zh-CN"/>
              </w:rPr>
              <w:t xml:space="preserve">Total </w:t>
            </w:r>
            <w:r w:rsidRPr="004870C7">
              <w:rPr>
                <w:rFonts w:ascii="Calibri" w:hAnsi="Calibri" w:cs="Arial"/>
                <w:b/>
                <w:sz w:val="20"/>
                <w:szCs w:val="20"/>
              </w:rPr>
              <w:t xml:space="preserve">Budget administered by UNDP </w:t>
            </w:r>
          </w:p>
        </w:tc>
        <w:tc>
          <w:tcPr>
            <w:tcW w:w="4770" w:type="dxa"/>
            <w:gridSpan w:val="3"/>
            <w:shd w:val="clear" w:color="auto" w:fill="auto"/>
          </w:tcPr>
          <w:p w14:paraId="2CF89EBB" w14:textId="76B54F1E" w:rsidR="0077088A" w:rsidRPr="004870C7" w:rsidRDefault="00E54683" w:rsidP="0003763F">
            <w:pPr>
              <w:spacing w:after="240"/>
              <w:jc w:val="left"/>
              <w:rPr>
                <w:rFonts w:cs="Arial"/>
                <w:b/>
                <w:szCs w:val="20"/>
              </w:rPr>
            </w:pPr>
            <w:r w:rsidRPr="004870C7">
              <w:rPr>
                <w:rFonts w:cs="Arial"/>
                <w:b/>
                <w:bCs/>
                <w:szCs w:val="20"/>
              </w:rPr>
              <w:t>USD</w:t>
            </w:r>
            <w:r w:rsidRPr="004870C7">
              <w:rPr>
                <w:rFonts w:cs="Arial"/>
                <w:szCs w:val="20"/>
              </w:rPr>
              <w:t xml:space="preserve"> </w:t>
            </w:r>
            <w:r w:rsidR="002872F3" w:rsidRPr="004870C7">
              <w:rPr>
                <w:rFonts w:cs="Arial"/>
                <w:b/>
                <w:szCs w:val="20"/>
              </w:rPr>
              <w:t xml:space="preserve">517,000 </w:t>
            </w:r>
          </w:p>
        </w:tc>
      </w:tr>
      <w:tr w:rsidR="0077088A" w:rsidRPr="004870C7" w14:paraId="4CBA70D2" w14:textId="77777777" w:rsidTr="0003763F">
        <w:tc>
          <w:tcPr>
            <w:tcW w:w="9355" w:type="dxa"/>
            <w:gridSpan w:val="6"/>
            <w:shd w:val="clear" w:color="auto" w:fill="D9D9D9"/>
          </w:tcPr>
          <w:p w14:paraId="434BC467" w14:textId="7DB41937" w:rsidR="0077088A" w:rsidRPr="004870C7" w:rsidRDefault="001053A8" w:rsidP="0006474F">
            <w:pPr>
              <w:rPr>
                <w:rFonts w:asciiTheme="minorHAnsi" w:hAnsiTheme="minorHAnsi" w:cs="Arial"/>
                <w:b/>
                <w:szCs w:val="20"/>
              </w:rPr>
            </w:pPr>
            <w:r w:rsidRPr="004870C7">
              <w:rPr>
                <w:rFonts w:asciiTheme="minorHAnsi" w:hAnsiTheme="minorHAnsi" w:cs="Arial"/>
                <w:b/>
                <w:smallCaps/>
                <w:szCs w:val="20"/>
              </w:rPr>
              <w:t>co-financiers that will deliver project results</w:t>
            </w:r>
            <w:r w:rsidR="007B693E" w:rsidRPr="004870C7">
              <w:rPr>
                <w:rFonts w:asciiTheme="minorHAnsi" w:hAnsiTheme="minorHAnsi" w:cs="Arial"/>
                <w:b/>
                <w:smallCaps/>
                <w:szCs w:val="20"/>
              </w:rPr>
              <w:t xml:space="preserve"> included in the </w:t>
            </w:r>
            <w:r w:rsidR="008F09D5" w:rsidRPr="004870C7">
              <w:rPr>
                <w:rFonts w:asciiTheme="minorHAnsi" w:hAnsiTheme="minorHAnsi" w:cs="Arial"/>
                <w:b/>
                <w:smallCaps/>
                <w:szCs w:val="20"/>
              </w:rPr>
              <w:t xml:space="preserve">project </w:t>
            </w:r>
            <w:r w:rsidR="007B693E" w:rsidRPr="004870C7">
              <w:rPr>
                <w:rFonts w:asciiTheme="minorHAnsi" w:hAnsiTheme="minorHAnsi" w:cs="Arial"/>
                <w:b/>
                <w:smallCaps/>
                <w:szCs w:val="20"/>
              </w:rPr>
              <w:t>results framework</w:t>
            </w:r>
            <w:r w:rsidR="00763EFB" w:rsidRPr="004870C7">
              <w:rPr>
                <w:rFonts w:asciiTheme="minorHAnsi" w:hAnsiTheme="minorHAnsi" w:cs="Arial"/>
                <w:b/>
                <w:smallCaps/>
                <w:szCs w:val="20"/>
              </w:rPr>
              <w:t xml:space="preserve"> (Funds not administered through undp accounts)</w:t>
            </w:r>
            <w:r w:rsidR="0006474F" w:rsidRPr="004870C7">
              <w:rPr>
                <w:rFonts w:asciiTheme="minorHAnsi" w:hAnsiTheme="minorHAnsi" w:cs="Arial"/>
                <w:b/>
                <w:smallCaps/>
                <w:szCs w:val="20"/>
              </w:rPr>
              <w:t xml:space="preserve"> </w:t>
            </w:r>
          </w:p>
        </w:tc>
      </w:tr>
      <w:tr w:rsidR="0077088A" w:rsidRPr="004870C7" w14:paraId="39973C3B" w14:textId="77777777" w:rsidTr="0003763F">
        <w:trPr>
          <w:trHeight w:val="323"/>
        </w:trPr>
        <w:tc>
          <w:tcPr>
            <w:tcW w:w="4585" w:type="dxa"/>
            <w:gridSpan w:val="3"/>
            <w:shd w:val="clear" w:color="auto" w:fill="auto"/>
          </w:tcPr>
          <w:p w14:paraId="2786F41E" w14:textId="24A91BC6" w:rsidR="0077088A" w:rsidRPr="004870C7" w:rsidRDefault="0077088A" w:rsidP="0003763F">
            <w:pPr>
              <w:spacing w:after="240"/>
              <w:jc w:val="right"/>
              <w:rPr>
                <w:rFonts w:cs="Arial"/>
                <w:i/>
                <w:szCs w:val="20"/>
              </w:rPr>
            </w:pPr>
            <w:r w:rsidRPr="004870C7">
              <w:rPr>
                <w:rFonts w:cs="Arial"/>
                <w:i/>
                <w:szCs w:val="20"/>
              </w:rPr>
              <w:t>Government</w:t>
            </w:r>
            <w:r w:rsidR="009532F2" w:rsidRPr="004870C7">
              <w:rPr>
                <w:rFonts w:cs="Arial"/>
                <w:i/>
                <w:szCs w:val="20"/>
              </w:rPr>
              <w:t xml:space="preserve"> </w:t>
            </w:r>
            <w:r w:rsidR="002872F3" w:rsidRPr="004870C7">
              <w:rPr>
                <w:rFonts w:cs="Arial"/>
                <w:i/>
                <w:szCs w:val="20"/>
              </w:rPr>
              <w:t>of Montenegro – Ministry of Ecology, Spatial Planning and Urbanism</w:t>
            </w:r>
          </w:p>
        </w:tc>
        <w:tc>
          <w:tcPr>
            <w:tcW w:w="4770" w:type="dxa"/>
            <w:gridSpan w:val="3"/>
            <w:shd w:val="clear" w:color="auto" w:fill="auto"/>
          </w:tcPr>
          <w:p w14:paraId="7F4FF5D7" w14:textId="0E1BB1BF" w:rsidR="0077088A" w:rsidRPr="004870C7" w:rsidRDefault="00E54683" w:rsidP="0003763F">
            <w:pPr>
              <w:spacing w:after="240"/>
              <w:jc w:val="left"/>
              <w:rPr>
                <w:rFonts w:cs="Arial"/>
                <w:szCs w:val="20"/>
              </w:rPr>
            </w:pPr>
            <w:r w:rsidRPr="004870C7">
              <w:rPr>
                <w:rFonts w:cs="Arial"/>
                <w:szCs w:val="20"/>
              </w:rPr>
              <w:t xml:space="preserve">USD </w:t>
            </w:r>
            <w:r w:rsidR="00024A75" w:rsidRPr="004870C7">
              <w:rPr>
                <w:rFonts w:cs="Arial"/>
                <w:szCs w:val="20"/>
              </w:rPr>
              <w:t>100</w:t>
            </w:r>
            <w:r w:rsidRPr="004870C7">
              <w:rPr>
                <w:rFonts w:cs="Arial"/>
                <w:szCs w:val="20"/>
              </w:rPr>
              <w:t>,</w:t>
            </w:r>
            <w:r w:rsidR="00024A75" w:rsidRPr="004870C7">
              <w:rPr>
                <w:rFonts w:cs="Arial"/>
                <w:szCs w:val="20"/>
              </w:rPr>
              <w:t>000</w:t>
            </w:r>
            <w:r w:rsidR="002872F3" w:rsidRPr="004870C7">
              <w:rPr>
                <w:rFonts w:cs="Arial"/>
                <w:szCs w:val="20"/>
              </w:rPr>
              <w:t xml:space="preserve"> </w:t>
            </w:r>
            <w:r w:rsidR="004365AE" w:rsidRPr="004870C7">
              <w:rPr>
                <w:rFonts w:cs="Arial"/>
                <w:szCs w:val="20"/>
              </w:rPr>
              <w:t>(in kind)</w:t>
            </w:r>
          </w:p>
        </w:tc>
      </w:tr>
      <w:tr w:rsidR="0077088A" w:rsidRPr="004870C7" w14:paraId="3BC13D34" w14:textId="77777777" w:rsidTr="0003763F">
        <w:tc>
          <w:tcPr>
            <w:tcW w:w="4585" w:type="dxa"/>
            <w:gridSpan w:val="3"/>
            <w:shd w:val="clear" w:color="auto" w:fill="auto"/>
          </w:tcPr>
          <w:p w14:paraId="3F5810BB" w14:textId="77777777" w:rsidR="0077088A" w:rsidRPr="004870C7" w:rsidRDefault="0077088A" w:rsidP="00FA41FE">
            <w:pPr>
              <w:pStyle w:val="ListParagraph"/>
              <w:numPr>
                <w:ilvl w:val="0"/>
                <w:numId w:val="5"/>
              </w:numPr>
              <w:spacing w:after="240"/>
              <w:jc w:val="right"/>
              <w:rPr>
                <w:rFonts w:ascii="Calibri" w:hAnsi="Calibri" w:cs="Arial"/>
                <w:b/>
                <w:sz w:val="20"/>
                <w:szCs w:val="20"/>
              </w:rPr>
            </w:pPr>
            <w:r w:rsidRPr="004870C7">
              <w:rPr>
                <w:rFonts w:ascii="Calibri" w:hAnsi="Calibri" w:cs="Arial"/>
                <w:b/>
                <w:sz w:val="20"/>
                <w:szCs w:val="20"/>
              </w:rPr>
              <w:t>Total</w:t>
            </w:r>
            <w:r w:rsidR="008800E4" w:rsidRPr="004870C7">
              <w:rPr>
                <w:rFonts w:ascii="Calibri" w:hAnsi="Calibri" w:cs="Arial"/>
                <w:b/>
                <w:sz w:val="20"/>
                <w:szCs w:val="20"/>
              </w:rPr>
              <w:t xml:space="preserve"> confirmed</w:t>
            </w:r>
            <w:r w:rsidRPr="004870C7">
              <w:rPr>
                <w:rFonts w:ascii="Calibri" w:hAnsi="Calibri" w:cs="Arial"/>
                <w:b/>
                <w:sz w:val="20"/>
                <w:szCs w:val="20"/>
              </w:rPr>
              <w:t xml:space="preserve"> co-financing</w:t>
            </w:r>
          </w:p>
        </w:tc>
        <w:tc>
          <w:tcPr>
            <w:tcW w:w="4770" w:type="dxa"/>
            <w:gridSpan w:val="3"/>
            <w:shd w:val="clear" w:color="auto" w:fill="auto"/>
          </w:tcPr>
          <w:p w14:paraId="3086BB03" w14:textId="2DF0482B" w:rsidR="0077088A" w:rsidRPr="004870C7" w:rsidRDefault="00E54683" w:rsidP="0003763F">
            <w:pPr>
              <w:spacing w:after="240"/>
              <w:jc w:val="left"/>
              <w:rPr>
                <w:rFonts w:cs="Arial"/>
                <w:b/>
                <w:szCs w:val="20"/>
              </w:rPr>
            </w:pPr>
            <w:r w:rsidRPr="004870C7">
              <w:rPr>
                <w:rFonts w:cs="Arial"/>
                <w:szCs w:val="20"/>
              </w:rPr>
              <w:t xml:space="preserve">USD </w:t>
            </w:r>
            <w:r w:rsidR="00024A75" w:rsidRPr="004870C7">
              <w:rPr>
                <w:rFonts w:cs="Arial"/>
                <w:b/>
                <w:szCs w:val="20"/>
              </w:rPr>
              <w:t>100</w:t>
            </w:r>
            <w:r w:rsidRPr="004870C7">
              <w:rPr>
                <w:rFonts w:cs="Arial"/>
                <w:b/>
                <w:szCs w:val="20"/>
              </w:rPr>
              <w:t>,</w:t>
            </w:r>
            <w:r w:rsidR="00024A75" w:rsidRPr="004870C7">
              <w:rPr>
                <w:rFonts w:cs="Arial"/>
                <w:b/>
                <w:szCs w:val="20"/>
              </w:rPr>
              <w:t xml:space="preserve">000 </w:t>
            </w:r>
          </w:p>
        </w:tc>
      </w:tr>
      <w:tr w:rsidR="0077088A" w:rsidRPr="004870C7" w14:paraId="3D00AAD9" w14:textId="77777777" w:rsidTr="0003763F">
        <w:tc>
          <w:tcPr>
            <w:tcW w:w="4585" w:type="dxa"/>
            <w:gridSpan w:val="3"/>
            <w:shd w:val="clear" w:color="auto" w:fill="auto"/>
          </w:tcPr>
          <w:p w14:paraId="7F55C8EE" w14:textId="350BD430" w:rsidR="0077088A" w:rsidRPr="004870C7" w:rsidRDefault="0077088A" w:rsidP="00FA41FE">
            <w:pPr>
              <w:pStyle w:val="ListParagraph"/>
              <w:numPr>
                <w:ilvl w:val="0"/>
                <w:numId w:val="5"/>
              </w:numPr>
              <w:spacing w:after="240"/>
              <w:jc w:val="right"/>
              <w:rPr>
                <w:rFonts w:ascii="Calibri" w:hAnsi="Calibri" w:cs="Arial"/>
                <w:b/>
                <w:sz w:val="20"/>
                <w:szCs w:val="20"/>
              </w:rPr>
            </w:pPr>
            <w:r w:rsidRPr="004870C7">
              <w:rPr>
                <w:rFonts w:ascii="Calibri" w:hAnsi="Calibri" w:cs="Arial"/>
                <w:b/>
                <w:sz w:val="20"/>
                <w:szCs w:val="20"/>
                <w:lang w:eastAsia="zh-CN"/>
              </w:rPr>
              <w:t>Grand-</w:t>
            </w:r>
            <w:r w:rsidRPr="004870C7">
              <w:rPr>
                <w:rFonts w:ascii="Calibri" w:hAnsi="Calibri" w:cs="Arial"/>
                <w:b/>
                <w:sz w:val="20"/>
                <w:szCs w:val="20"/>
              </w:rPr>
              <w:t xml:space="preserve">Total Project </w:t>
            </w:r>
            <w:r w:rsidRPr="004870C7">
              <w:rPr>
                <w:rFonts w:ascii="Calibri" w:hAnsi="Calibri" w:cs="Arial"/>
                <w:b/>
                <w:sz w:val="20"/>
                <w:szCs w:val="20"/>
                <w:lang w:eastAsia="zh-CN"/>
              </w:rPr>
              <w:t>Financing (1)+(2)</w:t>
            </w:r>
          </w:p>
        </w:tc>
        <w:tc>
          <w:tcPr>
            <w:tcW w:w="4770" w:type="dxa"/>
            <w:gridSpan w:val="3"/>
            <w:shd w:val="clear" w:color="auto" w:fill="auto"/>
          </w:tcPr>
          <w:p w14:paraId="190A58E3" w14:textId="7ACEA1A9" w:rsidR="0077088A" w:rsidRPr="004870C7" w:rsidRDefault="00E54683" w:rsidP="0003763F">
            <w:pPr>
              <w:spacing w:after="240"/>
              <w:jc w:val="left"/>
              <w:rPr>
                <w:rFonts w:cs="Arial"/>
                <w:b/>
                <w:szCs w:val="20"/>
              </w:rPr>
            </w:pPr>
            <w:r w:rsidRPr="004870C7">
              <w:rPr>
                <w:rFonts w:cs="Arial"/>
                <w:szCs w:val="20"/>
              </w:rPr>
              <w:t xml:space="preserve">USD </w:t>
            </w:r>
            <w:r w:rsidR="00024A75" w:rsidRPr="004870C7">
              <w:rPr>
                <w:rFonts w:cs="Arial"/>
                <w:b/>
                <w:szCs w:val="20"/>
              </w:rPr>
              <w:t>617</w:t>
            </w:r>
            <w:r w:rsidRPr="004870C7">
              <w:rPr>
                <w:rFonts w:cs="Arial"/>
                <w:b/>
                <w:szCs w:val="20"/>
              </w:rPr>
              <w:t>,</w:t>
            </w:r>
            <w:r w:rsidR="00024A75" w:rsidRPr="004870C7">
              <w:rPr>
                <w:rFonts w:cs="Arial"/>
                <w:b/>
                <w:szCs w:val="20"/>
              </w:rPr>
              <w:t xml:space="preserve">000 </w:t>
            </w:r>
          </w:p>
        </w:tc>
      </w:tr>
      <w:tr w:rsidR="0077088A" w:rsidRPr="004870C7" w14:paraId="6C5E7D87" w14:textId="77777777" w:rsidTr="0003763F">
        <w:tc>
          <w:tcPr>
            <w:tcW w:w="9355" w:type="dxa"/>
            <w:gridSpan w:val="6"/>
            <w:shd w:val="clear" w:color="auto" w:fill="BFBFBF"/>
          </w:tcPr>
          <w:p w14:paraId="5D73DD08" w14:textId="77777777" w:rsidR="00212F0C" w:rsidRPr="004870C7" w:rsidRDefault="0077088A" w:rsidP="0003763F">
            <w:pPr>
              <w:spacing w:after="240"/>
              <w:jc w:val="left"/>
              <w:rPr>
                <w:rFonts w:cs="Arial"/>
                <w:b/>
                <w:smallCaps/>
                <w:szCs w:val="20"/>
              </w:rPr>
            </w:pPr>
            <w:r w:rsidRPr="004870C7">
              <w:rPr>
                <w:rFonts w:cs="Arial"/>
                <w:b/>
                <w:smallCaps/>
                <w:szCs w:val="20"/>
              </w:rPr>
              <w:t>Signatures</w:t>
            </w:r>
            <w:r w:rsidR="00212F0C" w:rsidRPr="004870C7">
              <w:rPr>
                <w:rFonts w:cs="Arial"/>
                <w:b/>
                <w:smallCaps/>
                <w:szCs w:val="20"/>
              </w:rPr>
              <w:t xml:space="preserve">: </w:t>
            </w:r>
          </w:p>
          <w:p w14:paraId="5DA70B04" w14:textId="02069429" w:rsidR="0077088A" w:rsidRPr="004870C7" w:rsidRDefault="00212F0C" w:rsidP="0003763F">
            <w:pPr>
              <w:spacing w:after="240"/>
              <w:jc w:val="left"/>
              <w:rPr>
                <w:rFonts w:cs="Arial"/>
                <w:b/>
                <w:smallCaps/>
                <w:szCs w:val="20"/>
              </w:rPr>
            </w:pPr>
            <w:r w:rsidRPr="004870C7">
              <w:rPr>
                <w:rFonts w:cs="Arial"/>
                <w:b/>
                <w:smallCaps/>
                <w:szCs w:val="20"/>
              </w:rPr>
              <w:t>Note: If the project document is in french or spanish, the final project document must be cleared by the rta before signature.</w:t>
            </w:r>
          </w:p>
        </w:tc>
      </w:tr>
      <w:tr w:rsidR="0077088A" w:rsidRPr="004870C7" w14:paraId="605C1EAF" w14:textId="77777777" w:rsidTr="0003763F">
        <w:tc>
          <w:tcPr>
            <w:tcW w:w="4135" w:type="dxa"/>
            <w:gridSpan w:val="2"/>
            <w:shd w:val="clear" w:color="auto" w:fill="auto"/>
          </w:tcPr>
          <w:p w14:paraId="40204263" w14:textId="77777777" w:rsidR="00A21F3D" w:rsidRPr="004870C7" w:rsidRDefault="0077088A" w:rsidP="00A21F3D">
            <w:pPr>
              <w:spacing w:after="240"/>
              <w:jc w:val="left"/>
              <w:rPr>
                <w:rFonts w:cs="Arial"/>
                <w:szCs w:val="20"/>
              </w:rPr>
            </w:pPr>
            <w:r w:rsidRPr="004870C7">
              <w:rPr>
                <w:rFonts w:cs="Arial"/>
                <w:b/>
                <w:szCs w:val="20"/>
              </w:rPr>
              <w:t xml:space="preserve">Signature:  </w:t>
            </w:r>
            <w:r w:rsidR="00A21F3D" w:rsidRPr="004870C7">
              <w:rPr>
                <w:rFonts w:cs="Arial"/>
                <w:szCs w:val="20"/>
              </w:rPr>
              <w:t>print name below</w:t>
            </w:r>
          </w:p>
          <w:p w14:paraId="309F9AF8" w14:textId="77777777" w:rsidR="0077088A" w:rsidRPr="004870C7" w:rsidRDefault="0077088A" w:rsidP="0003763F">
            <w:pPr>
              <w:spacing w:after="240"/>
              <w:jc w:val="left"/>
              <w:rPr>
                <w:rFonts w:cs="Arial"/>
                <w:b/>
                <w:szCs w:val="20"/>
              </w:rPr>
            </w:pPr>
          </w:p>
        </w:tc>
        <w:tc>
          <w:tcPr>
            <w:tcW w:w="1620" w:type="dxa"/>
            <w:gridSpan w:val="2"/>
            <w:shd w:val="clear" w:color="auto" w:fill="auto"/>
          </w:tcPr>
          <w:p w14:paraId="7608EF1C" w14:textId="3EAF6405" w:rsidR="0077088A" w:rsidRPr="004870C7" w:rsidRDefault="0077088A" w:rsidP="0003763F">
            <w:pPr>
              <w:spacing w:after="240"/>
              <w:jc w:val="left"/>
              <w:rPr>
                <w:rFonts w:cs="Arial"/>
                <w:b/>
                <w:szCs w:val="20"/>
              </w:rPr>
            </w:pPr>
            <w:r w:rsidRPr="004870C7">
              <w:rPr>
                <w:rFonts w:cs="Arial"/>
                <w:b/>
                <w:szCs w:val="20"/>
              </w:rPr>
              <w:t>Agreed by Implementing Partner</w:t>
            </w:r>
          </w:p>
        </w:tc>
        <w:tc>
          <w:tcPr>
            <w:tcW w:w="3600" w:type="dxa"/>
            <w:gridSpan w:val="2"/>
            <w:shd w:val="clear" w:color="auto" w:fill="auto"/>
          </w:tcPr>
          <w:p w14:paraId="4FCA0F44" w14:textId="5992F3E0" w:rsidR="0077088A" w:rsidRPr="004870C7" w:rsidRDefault="0077088A" w:rsidP="0003763F">
            <w:pPr>
              <w:spacing w:after="240"/>
              <w:jc w:val="left"/>
              <w:rPr>
                <w:rFonts w:cs="Arial"/>
                <w:b/>
                <w:i/>
                <w:szCs w:val="20"/>
              </w:rPr>
            </w:pPr>
            <w:r w:rsidRPr="004870C7">
              <w:rPr>
                <w:rFonts w:cs="Arial"/>
                <w:b/>
                <w:szCs w:val="20"/>
              </w:rPr>
              <w:t>Date/Month/Year:</w:t>
            </w:r>
            <w:r w:rsidR="00964803" w:rsidRPr="004870C7">
              <w:rPr>
                <w:rFonts w:cs="Arial"/>
                <w:szCs w:val="20"/>
              </w:rPr>
              <w:t xml:space="preserve"> </w:t>
            </w:r>
            <w:r w:rsidR="006C1848" w:rsidRPr="006C1848">
              <w:rPr>
                <w:rFonts w:cs="Arial"/>
                <w:i/>
                <w:szCs w:val="20"/>
              </w:rPr>
              <w:t>within 6 months after CEO Approval</w:t>
            </w:r>
          </w:p>
          <w:p w14:paraId="15B8748E" w14:textId="77777777" w:rsidR="0077088A" w:rsidRPr="004870C7" w:rsidRDefault="0077088A" w:rsidP="0003763F">
            <w:pPr>
              <w:spacing w:after="240"/>
              <w:jc w:val="left"/>
              <w:rPr>
                <w:rFonts w:cs="Arial"/>
                <w:b/>
                <w:szCs w:val="20"/>
              </w:rPr>
            </w:pPr>
          </w:p>
        </w:tc>
      </w:tr>
      <w:tr w:rsidR="0077088A" w:rsidRPr="004870C7" w14:paraId="7C55286E" w14:textId="77777777" w:rsidTr="0003763F">
        <w:tc>
          <w:tcPr>
            <w:tcW w:w="4135" w:type="dxa"/>
            <w:gridSpan w:val="2"/>
            <w:shd w:val="clear" w:color="auto" w:fill="auto"/>
          </w:tcPr>
          <w:p w14:paraId="49121B21" w14:textId="3BAF2F39" w:rsidR="00A21F3D" w:rsidRPr="004870C7" w:rsidRDefault="0077088A" w:rsidP="00A21F3D">
            <w:pPr>
              <w:spacing w:after="240"/>
              <w:jc w:val="left"/>
              <w:rPr>
                <w:rFonts w:cs="Arial"/>
                <w:szCs w:val="20"/>
              </w:rPr>
            </w:pPr>
            <w:r w:rsidRPr="004870C7">
              <w:rPr>
                <w:rFonts w:cs="Arial"/>
                <w:b/>
                <w:szCs w:val="20"/>
              </w:rPr>
              <w:t xml:space="preserve">Signature:  </w:t>
            </w:r>
            <w:r w:rsidR="00A21F3D" w:rsidRPr="004870C7">
              <w:rPr>
                <w:rFonts w:cs="Arial"/>
                <w:szCs w:val="20"/>
              </w:rPr>
              <w:t>print name below</w:t>
            </w:r>
          </w:p>
          <w:p w14:paraId="4AB38243" w14:textId="52B4318F" w:rsidR="00AB5018" w:rsidRPr="004870C7" w:rsidRDefault="00AB5018" w:rsidP="00A21F3D">
            <w:pPr>
              <w:spacing w:after="240"/>
              <w:jc w:val="left"/>
              <w:rPr>
                <w:rFonts w:cs="Arial"/>
                <w:szCs w:val="20"/>
              </w:rPr>
            </w:pPr>
            <w:r w:rsidRPr="004870C7">
              <w:rPr>
                <w:rFonts w:cs="Arial"/>
                <w:szCs w:val="20"/>
              </w:rPr>
              <w:t xml:space="preserve">Ms. Daniela Gasparikova, </w:t>
            </w:r>
          </w:p>
          <w:p w14:paraId="65DE2B91" w14:textId="61F8B1EE" w:rsidR="00AB5018" w:rsidRPr="004870C7" w:rsidRDefault="00AB5018" w:rsidP="00A21F3D">
            <w:pPr>
              <w:spacing w:after="240"/>
              <w:jc w:val="left"/>
              <w:rPr>
                <w:rFonts w:cs="Arial"/>
                <w:szCs w:val="20"/>
              </w:rPr>
            </w:pPr>
            <w:r w:rsidRPr="004870C7">
              <w:rPr>
                <w:rFonts w:cs="Arial"/>
                <w:szCs w:val="20"/>
              </w:rPr>
              <w:t xml:space="preserve">UNDP Resident Representative </w:t>
            </w:r>
          </w:p>
          <w:p w14:paraId="56A7AEFB" w14:textId="77777777" w:rsidR="0077088A" w:rsidRPr="004870C7" w:rsidRDefault="0077088A" w:rsidP="0003763F">
            <w:pPr>
              <w:spacing w:after="240"/>
              <w:jc w:val="left"/>
              <w:rPr>
                <w:rFonts w:cs="Arial"/>
                <w:b/>
                <w:szCs w:val="20"/>
              </w:rPr>
            </w:pPr>
          </w:p>
        </w:tc>
        <w:tc>
          <w:tcPr>
            <w:tcW w:w="1620" w:type="dxa"/>
            <w:gridSpan w:val="2"/>
            <w:shd w:val="clear" w:color="auto" w:fill="auto"/>
          </w:tcPr>
          <w:p w14:paraId="79F0C5E5" w14:textId="4D7C7C08" w:rsidR="0077088A" w:rsidRPr="004870C7" w:rsidRDefault="0077088A" w:rsidP="0003763F">
            <w:pPr>
              <w:spacing w:after="240"/>
              <w:jc w:val="left"/>
              <w:rPr>
                <w:rFonts w:cs="Arial"/>
                <w:b/>
                <w:szCs w:val="20"/>
              </w:rPr>
            </w:pPr>
            <w:r w:rsidRPr="004870C7">
              <w:rPr>
                <w:rFonts w:cs="Arial"/>
                <w:b/>
                <w:szCs w:val="20"/>
              </w:rPr>
              <w:t>Agreed by UNDP</w:t>
            </w:r>
          </w:p>
        </w:tc>
        <w:tc>
          <w:tcPr>
            <w:tcW w:w="3600" w:type="dxa"/>
            <w:gridSpan w:val="2"/>
            <w:shd w:val="clear" w:color="auto" w:fill="auto"/>
          </w:tcPr>
          <w:p w14:paraId="24E4E5EB" w14:textId="36DA0605" w:rsidR="0077088A" w:rsidRPr="004870C7" w:rsidRDefault="0077088A" w:rsidP="0003763F">
            <w:pPr>
              <w:spacing w:after="240"/>
              <w:jc w:val="left"/>
              <w:rPr>
                <w:rFonts w:cs="Arial"/>
                <w:b/>
                <w:szCs w:val="20"/>
              </w:rPr>
            </w:pPr>
            <w:r w:rsidRPr="004870C7">
              <w:rPr>
                <w:rFonts w:cs="Arial"/>
                <w:b/>
                <w:szCs w:val="20"/>
              </w:rPr>
              <w:t>Date/Month/Year:</w:t>
            </w:r>
            <w:r w:rsidR="00964803" w:rsidRPr="004870C7">
              <w:rPr>
                <w:rFonts w:cs="Arial"/>
                <w:szCs w:val="20"/>
              </w:rPr>
              <w:t xml:space="preserve"> </w:t>
            </w:r>
            <w:r w:rsidR="006C1848" w:rsidRPr="006C1848">
              <w:rPr>
                <w:rFonts w:cs="Arial"/>
                <w:i/>
                <w:szCs w:val="20"/>
              </w:rPr>
              <w:t>within 6 months after CEO Approval</w:t>
            </w:r>
          </w:p>
        </w:tc>
      </w:tr>
      <w:tr w:rsidR="00A6167C" w:rsidRPr="004870C7" w14:paraId="57A1AE3D" w14:textId="77777777" w:rsidTr="008702EE">
        <w:tc>
          <w:tcPr>
            <w:tcW w:w="9355" w:type="dxa"/>
            <w:gridSpan w:val="6"/>
            <w:shd w:val="clear" w:color="auto" w:fill="auto"/>
          </w:tcPr>
          <w:p w14:paraId="69FD0FC6" w14:textId="77777777" w:rsidR="00A6167C" w:rsidRPr="004870C7" w:rsidRDefault="00A6167C" w:rsidP="00A6167C">
            <w:pPr>
              <w:spacing w:after="0"/>
              <w:jc w:val="left"/>
              <w:rPr>
                <w:rFonts w:cs="Arial"/>
                <w:b/>
                <w:szCs w:val="20"/>
              </w:rPr>
            </w:pPr>
            <w:r w:rsidRPr="004870C7">
              <w:rPr>
                <w:rFonts w:cs="Arial"/>
                <w:b/>
                <w:szCs w:val="20"/>
              </w:rPr>
              <w:t xml:space="preserve">Key GEF </w:t>
            </w:r>
            <w:r w:rsidR="00CF3824" w:rsidRPr="004870C7">
              <w:rPr>
                <w:rFonts w:cs="Arial"/>
                <w:b/>
                <w:szCs w:val="20"/>
              </w:rPr>
              <w:t xml:space="preserve">Project Cycle </w:t>
            </w:r>
            <w:r w:rsidRPr="004870C7">
              <w:rPr>
                <w:rFonts w:cs="Arial"/>
                <w:b/>
                <w:szCs w:val="20"/>
              </w:rPr>
              <w:t>Milestones:</w:t>
            </w:r>
          </w:p>
          <w:p w14:paraId="2C531D09" w14:textId="1DAC7513" w:rsidR="00A6167C" w:rsidRDefault="00A6167C" w:rsidP="00A6167C">
            <w:pPr>
              <w:spacing w:after="0"/>
              <w:jc w:val="left"/>
              <w:rPr>
                <w:rFonts w:cs="Arial"/>
                <w:b/>
                <w:szCs w:val="20"/>
              </w:rPr>
            </w:pPr>
          </w:p>
          <w:p w14:paraId="1D5D53AD" w14:textId="77777777" w:rsidR="009F5781" w:rsidRPr="009F5781" w:rsidRDefault="009F5781" w:rsidP="009F5781">
            <w:pPr>
              <w:spacing w:after="0"/>
              <w:jc w:val="left"/>
              <w:rPr>
                <w:rFonts w:cs="Arial"/>
                <w:bCs/>
                <w:szCs w:val="20"/>
              </w:rPr>
            </w:pPr>
            <w:r w:rsidRPr="009F5781">
              <w:rPr>
                <w:rFonts w:cs="Arial"/>
                <w:b/>
                <w:szCs w:val="20"/>
              </w:rPr>
              <w:t xml:space="preserve">Project document signature: </w:t>
            </w:r>
            <w:r w:rsidRPr="009F5781">
              <w:rPr>
                <w:rFonts w:cs="Arial"/>
                <w:bCs/>
                <w:szCs w:val="20"/>
              </w:rPr>
              <w:t>within 6 months after CEO Approval</w:t>
            </w:r>
          </w:p>
          <w:p w14:paraId="205FCDC5" w14:textId="77777777" w:rsidR="009F5781" w:rsidRPr="009F5781" w:rsidRDefault="009F5781" w:rsidP="009F5781">
            <w:pPr>
              <w:spacing w:after="0"/>
              <w:jc w:val="left"/>
              <w:rPr>
                <w:rFonts w:cs="Arial"/>
                <w:bCs/>
                <w:szCs w:val="20"/>
              </w:rPr>
            </w:pPr>
            <w:r w:rsidRPr="009F5781">
              <w:rPr>
                <w:rFonts w:cs="Arial"/>
                <w:b/>
                <w:szCs w:val="20"/>
              </w:rPr>
              <w:t xml:space="preserve">First disbursement date: </w:t>
            </w:r>
            <w:r w:rsidRPr="009F5781">
              <w:rPr>
                <w:rFonts w:cs="Arial"/>
                <w:bCs/>
                <w:szCs w:val="20"/>
              </w:rPr>
              <w:t>within 8 months after CEO Approval</w:t>
            </w:r>
          </w:p>
          <w:p w14:paraId="7C141FCF" w14:textId="1665C1B4" w:rsidR="009F5781" w:rsidRPr="004870C7" w:rsidRDefault="009F5781" w:rsidP="009F5781">
            <w:pPr>
              <w:spacing w:after="0"/>
              <w:jc w:val="left"/>
              <w:rPr>
                <w:rFonts w:cs="Arial"/>
                <w:b/>
                <w:szCs w:val="20"/>
              </w:rPr>
            </w:pPr>
            <w:r w:rsidRPr="009F5781">
              <w:rPr>
                <w:rFonts w:cs="Arial"/>
                <w:b/>
                <w:szCs w:val="20"/>
              </w:rPr>
              <w:t xml:space="preserve">Inception workshop date: </w:t>
            </w:r>
            <w:r w:rsidRPr="009F5781">
              <w:rPr>
                <w:rFonts w:cs="Arial"/>
                <w:bCs/>
                <w:szCs w:val="20"/>
              </w:rPr>
              <w:t>within 2 months from the date of First Disbursement</w:t>
            </w:r>
          </w:p>
          <w:p w14:paraId="303741B3" w14:textId="77777777" w:rsidR="00100B66" w:rsidRPr="004870C7" w:rsidRDefault="00100B66" w:rsidP="00100B66">
            <w:pPr>
              <w:spacing w:after="0"/>
              <w:jc w:val="left"/>
              <w:rPr>
                <w:rFonts w:cs="Arial"/>
                <w:b/>
                <w:color w:val="000000" w:themeColor="text1"/>
                <w:szCs w:val="20"/>
              </w:rPr>
            </w:pPr>
            <w:r w:rsidRPr="004870C7">
              <w:rPr>
                <w:rFonts w:cs="Arial"/>
                <w:b/>
                <w:color w:val="000000" w:themeColor="text1"/>
                <w:szCs w:val="20"/>
              </w:rPr>
              <w:t xml:space="preserve">Operational closure: </w:t>
            </w:r>
            <w:r w:rsidRPr="004870C7">
              <w:rPr>
                <w:rFonts w:cs="Arial"/>
                <w:bCs/>
                <w:color w:val="000000" w:themeColor="text1"/>
                <w:szCs w:val="20"/>
              </w:rPr>
              <w:t>within 3 months of submitting of End of project report</w:t>
            </w:r>
            <w:r w:rsidRPr="004870C7">
              <w:rPr>
                <w:rFonts w:cs="Arial"/>
                <w:b/>
                <w:color w:val="000000" w:themeColor="text1"/>
                <w:szCs w:val="20"/>
              </w:rPr>
              <w:t xml:space="preserve"> </w:t>
            </w:r>
          </w:p>
          <w:p w14:paraId="51196E1A" w14:textId="4755F2AA" w:rsidR="00964803" w:rsidRPr="004870C7" w:rsidRDefault="00100B66" w:rsidP="00964803">
            <w:pPr>
              <w:spacing w:after="0"/>
              <w:jc w:val="left"/>
              <w:rPr>
                <w:rFonts w:cs="Arial"/>
                <w:b/>
                <w:szCs w:val="20"/>
              </w:rPr>
            </w:pPr>
            <w:r w:rsidRPr="004870C7">
              <w:rPr>
                <w:rFonts w:cs="Arial"/>
                <w:b/>
                <w:color w:val="000000" w:themeColor="text1"/>
                <w:szCs w:val="20"/>
              </w:rPr>
              <w:t xml:space="preserve">Financial closure: </w:t>
            </w:r>
            <w:r w:rsidRPr="004870C7">
              <w:rPr>
                <w:rFonts w:cs="Arial"/>
                <w:bCs/>
                <w:color w:val="000000" w:themeColor="text1"/>
                <w:szCs w:val="20"/>
              </w:rPr>
              <w:t>within 6 months of operational closure</w:t>
            </w:r>
          </w:p>
        </w:tc>
      </w:tr>
    </w:tbl>
    <w:p w14:paraId="70A64F58" w14:textId="77777777" w:rsidR="008968AE" w:rsidRPr="004870C7" w:rsidRDefault="008968AE" w:rsidP="00235AE4">
      <w:pPr>
        <w:spacing w:after="240"/>
        <w:jc w:val="left"/>
        <w:rPr>
          <w:rFonts w:cs="Arial"/>
          <w:b/>
          <w:szCs w:val="20"/>
        </w:rPr>
      </w:pPr>
    </w:p>
    <w:p w14:paraId="031C5B0B" w14:textId="77777777" w:rsidR="008968AE" w:rsidRPr="004870C7" w:rsidRDefault="008968AE">
      <w:pPr>
        <w:spacing w:after="0"/>
        <w:jc w:val="left"/>
        <w:rPr>
          <w:rFonts w:cs="Arial"/>
          <w:szCs w:val="20"/>
        </w:rPr>
      </w:pPr>
      <w:r w:rsidRPr="004870C7">
        <w:rPr>
          <w:rFonts w:cs="Arial"/>
          <w:szCs w:val="20"/>
        </w:rPr>
        <w:br w:type="page"/>
      </w:r>
    </w:p>
    <w:p w14:paraId="71DD797A" w14:textId="77777777" w:rsidR="00D64EA4" w:rsidRPr="004870C7" w:rsidRDefault="00D64EA4" w:rsidP="00137B7D">
      <w:pPr>
        <w:pStyle w:val="Heading1"/>
        <w:numPr>
          <w:ilvl w:val="0"/>
          <w:numId w:val="0"/>
        </w:numPr>
      </w:pPr>
      <w:bookmarkStart w:id="1" w:name="_Toc10117702"/>
      <w:bookmarkStart w:id="2" w:name="_Toc10449632"/>
      <w:bookmarkStart w:id="3" w:name="_Toc75965544"/>
      <w:r w:rsidRPr="004870C7">
        <w:lastRenderedPageBreak/>
        <w:t>Table of Contents</w:t>
      </w:r>
      <w:bookmarkEnd w:id="1"/>
      <w:bookmarkEnd w:id="2"/>
      <w:bookmarkEnd w:id="3"/>
    </w:p>
    <w:p w14:paraId="1F9376DC" w14:textId="6C65285D" w:rsidR="006C6ECA" w:rsidRDefault="00D64EA4">
      <w:pPr>
        <w:pStyle w:val="TOC1"/>
        <w:rPr>
          <w:rFonts w:asciiTheme="minorHAnsi" w:eastAsiaTheme="minorEastAsia" w:hAnsiTheme="minorHAnsi" w:cstheme="minorBidi"/>
          <w:noProof/>
          <w:sz w:val="22"/>
          <w:szCs w:val="22"/>
        </w:rPr>
      </w:pPr>
      <w:r w:rsidRPr="004870C7">
        <w:rPr>
          <w:szCs w:val="20"/>
        </w:rPr>
        <w:fldChar w:fldCharType="begin"/>
      </w:r>
      <w:r w:rsidRPr="004870C7">
        <w:rPr>
          <w:szCs w:val="20"/>
        </w:rPr>
        <w:instrText xml:space="preserve"> TOC \o "1-3" \h \z \u </w:instrText>
      </w:r>
      <w:r w:rsidRPr="004870C7">
        <w:rPr>
          <w:szCs w:val="20"/>
        </w:rPr>
        <w:fldChar w:fldCharType="separate"/>
      </w:r>
      <w:hyperlink w:anchor="_Toc75965544" w:history="1">
        <w:r w:rsidR="006C6ECA" w:rsidRPr="000E7EBB">
          <w:rPr>
            <w:rStyle w:val="Hyperlink"/>
            <w:noProof/>
          </w:rPr>
          <w:t>Table of Contents</w:t>
        </w:r>
        <w:r w:rsidR="006C6ECA">
          <w:rPr>
            <w:noProof/>
            <w:webHidden/>
          </w:rPr>
          <w:tab/>
        </w:r>
        <w:r w:rsidR="006C6ECA">
          <w:rPr>
            <w:noProof/>
            <w:webHidden/>
          </w:rPr>
          <w:fldChar w:fldCharType="begin"/>
        </w:r>
        <w:r w:rsidR="006C6ECA">
          <w:rPr>
            <w:noProof/>
            <w:webHidden/>
          </w:rPr>
          <w:instrText xml:space="preserve"> PAGEREF _Toc75965544 \h </w:instrText>
        </w:r>
        <w:r w:rsidR="006C6ECA">
          <w:rPr>
            <w:noProof/>
            <w:webHidden/>
          </w:rPr>
        </w:r>
        <w:r w:rsidR="006C6ECA">
          <w:rPr>
            <w:noProof/>
            <w:webHidden/>
          </w:rPr>
          <w:fldChar w:fldCharType="separate"/>
        </w:r>
        <w:r w:rsidR="006C6ECA">
          <w:rPr>
            <w:noProof/>
            <w:webHidden/>
          </w:rPr>
          <w:t>3</w:t>
        </w:r>
        <w:r w:rsidR="006C6ECA">
          <w:rPr>
            <w:noProof/>
            <w:webHidden/>
          </w:rPr>
          <w:fldChar w:fldCharType="end"/>
        </w:r>
      </w:hyperlink>
    </w:p>
    <w:p w14:paraId="77439ADA" w14:textId="57AFD8CE" w:rsidR="006C6ECA" w:rsidRDefault="00F37A13">
      <w:pPr>
        <w:pStyle w:val="TOC1"/>
        <w:rPr>
          <w:rFonts w:asciiTheme="minorHAnsi" w:eastAsiaTheme="minorEastAsia" w:hAnsiTheme="minorHAnsi" w:cstheme="minorBidi"/>
          <w:noProof/>
          <w:sz w:val="22"/>
          <w:szCs w:val="22"/>
        </w:rPr>
      </w:pPr>
      <w:hyperlink w:anchor="_Toc75965545" w:history="1">
        <w:r w:rsidR="006C6ECA" w:rsidRPr="000E7EBB">
          <w:rPr>
            <w:rStyle w:val="Hyperlink"/>
            <w:noProof/>
          </w:rPr>
          <w:t>I.</w:t>
        </w:r>
        <w:r w:rsidR="006C6ECA">
          <w:rPr>
            <w:rFonts w:asciiTheme="minorHAnsi" w:eastAsiaTheme="minorEastAsia" w:hAnsiTheme="minorHAnsi" w:cstheme="minorBidi"/>
            <w:noProof/>
            <w:sz w:val="22"/>
            <w:szCs w:val="22"/>
          </w:rPr>
          <w:tab/>
        </w:r>
        <w:r w:rsidR="006C6ECA" w:rsidRPr="000E7EBB">
          <w:rPr>
            <w:rStyle w:val="Hyperlink"/>
            <w:noProof/>
          </w:rPr>
          <w:t>Acronyms and Abbreviations</w:t>
        </w:r>
        <w:r w:rsidR="006C6ECA">
          <w:rPr>
            <w:noProof/>
            <w:webHidden/>
          </w:rPr>
          <w:tab/>
        </w:r>
        <w:r w:rsidR="006C6ECA">
          <w:rPr>
            <w:noProof/>
            <w:webHidden/>
          </w:rPr>
          <w:fldChar w:fldCharType="begin"/>
        </w:r>
        <w:r w:rsidR="006C6ECA">
          <w:rPr>
            <w:noProof/>
            <w:webHidden/>
          </w:rPr>
          <w:instrText xml:space="preserve"> PAGEREF _Toc75965545 \h </w:instrText>
        </w:r>
        <w:r w:rsidR="006C6ECA">
          <w:rPr>
            <w:noProof/>
            <w:webHidden/>
          </w:rPr>
        </w:r>
        <w:r w:rsidR="006C6ECA">
          <w:rPr>
            <w:noProof/>
            <w:webHidden/>
          </w:rPr>
          <w:fldChar w:fldCharType="separate"/>
        </w:r>
        <w:r w:rsidR="006C6ECA">
          <w:rPr>
            <w:noProof/>
            <w:webHidden/>
          </w:rPr>
          <w:t>4</w:t>
        </w:r>
        <w:r w:rsidR="006C6ECA">
          <w:rPr>
            <w:noProof/>
            <w:webHidden/>
          </w:rPr>
          <w:fldChar w:fldCharType="end"/>
        </w:r>
      </w:hyperlink>
    </w:p>
    <w:p w14:paraId="7798A197" w14:textId="5DD55DE6" w:rsidR="006C6ECA" w:rsidRDefault="00F37A13">
      <w:pPr>
        <w:pStyle w:val="TOC1"/>
        <w:rPr>
          <w:rFonts w:asciiTheme="minorHAnsi" w:eastAsiaTheme="minorEastAsia" w:hAnsiTheme="minorHAnsi" w:cstheme="minorBidi"/>
          <w:noProof/>
          <w:sz w:val="22"/>
          <w:szCs w:val="22"/>
        </w:rPr>
      </w:pPr>
      <w:hyperlink w:anchor="_Toc75965546" w:history="1">
        <w:r w:rsidR="006C6ECA" w:rsidRPr="000E7EBB">
          <w:rPr>
            <w:rStyle w:val="Hyperlink"/>
            <w:noProof/>
          </w:rPr>
          <w:t>II.</w:t>
        </w:r>
        <w:r w:rsidR="006C6ECA">
          <w:rPr>
            <w:rFonts w:asciiTheme="minorHAnsi" w:eastAsiaTheme="minorEastAsia" w:hAnsiTheme="minorHAnsi" w:cstheme="minorBidi"/>
            <w:noProof/>
            <w:sz w:val="22"/>
            <w:szCs w:val="22"/>
          </w:rPr>
          <w:tab/>
        </w:r>
        <w:r w:rsidR="006C6ECA" w:rsidRPr="000E7EBB">
          <w:rPr>
            <w:rStyle w:val="Hyperlink"/>
            <w:noProof/>
          </w:rPr>
          <w:t>Development Challenge</w:t>
        </w:r>
        <w:r w:rsidR="006C6ECA">
          <w:rPr>
            <w:noProof/>
            <w:webHidden/>
          </w:rPr>
          <w:tab/>
        </w:r>
        <w:r w:rsidR="006C6ECA">
          <w:rPr>
            <w:noProof/>
            <w:webHidden/>
          </w:rPr>
          <w:fldChar w:fldCharType="begin"/>
        </w:r>
        <w:r w:rsidR="006C6ECA">
          <w:rPr>
            <w:noProof/>
            <w:webHidden/>
          </w:rPr>
          <w:instrText xml:space="preserve"> PAGEREF _Toc75965546 \h </w:instrText>
        </w:r>
        <w:r w:rsidR="006C6ECA">
          <w:rPr>
            <w:noProof/>
            <w:webHidden/>
          </w:rPr>
        </w:r>
        <w:r w:rsidR="006C6ECA">
          <w:rPr>
            <w:noProof/>
            <w:webHidden/>
          </w:rPr>
          <w:fldChar w:fldCharType="separate"/>
        </w:r>
        <w:r w:rsidR="006C6ECA">
          <w:rPr>
            <w:noProof/>
            <w:webHidden/>
          </w:rPr>
          <w:t>6</w:t>
        </w:r>
        <w:r w:rsidR="006C6ECA">
          <w:rPr>
            <w:noProof/>
            <w:webHidden/>
          </w:rPr>
          <w:fldChar w:fldCharType="end"/>
        </w:r>
      </w:hyperlink>
    </w:p>
    <w:p w14:paraId="357C1C8F" w14:textId="47A361FC" w:rsidR="006C6ECA" w:rsidRDefault="00F37A13">
      <w:pPr>
        <w:pStyle w:val="TOC1"/>
        <w:rPr>
          <w:rFonts w:asciiTheme="minorHAnsi" w:eastAsiaTheme="minorEastAsia" w:hAnsiTheme="minorHAnsi" w:cstheme="minorBidi"/>
          <w:noProof/>
          <w:sz w:val="22"/>
          <w:szCs w:val="22"/>
        </w:rPr>
      </w:pPr>
      <w:hyperlink w:anchor="_Toc75965547" w:history="1">
        <w:r w:rsidR="006C6ECA" w:rsidRPr="000E7EBB">
          <w:rPr>
            <w:rStyle w:val="Hyperlink"/>
            <w:noProof/>
          </w:rPr>
          <w:t>III.</w:t>
        </w:r>
        <w:r w:rsidR="006C6ECA">
          <w:rPr>
            <w:rFonts w:asciiTheme="minorHAnsi" w:eastAsiaTheme="minorEastAsia" w:hAnsiTheme="minorHAnsi" w:cstheme="minorBidi"/>
            <w:noProof/>
            <w:sz w:val="22"/>
            <w:szCs w:val="22"/>
          </w:rPr>
          <w:tab/>
        </w:r>
        <w:r w:rsidR="006C6ECA" w:rsidRPr="000E7EBB">
          <w:rPr>
            <w:rStyle w:val="Hyperlink"/>
            <w:noProof/>
          </w:rPr>
          <w:t>Strategy</w:t>
        </w:r>
        <w:r w:rsidR="006C6ECA">
          <w:rPr>
            <w:noProof/>
            <w:webHidden/>
          </w:rPr>
          <w:tab/>
        </w:r>
        <w:r w:rsidR="006C6ECA">
          <w:rPr>
            <w:noProof/>
            <w:webHidden/>
          </w:rPr>
          <w:fldChar w:fldCharType="begin"/>
        </w:r>
        <w:r w:rsidR="006C6ECA">
          <w:rPr>
            <w:noProof/>
            <w:webHidden/>
          </w:rPr>
          <w:instrText xml:space="preserve"> PAGEREF _Toc75965547 \h </w:instrText>
        </w:r>
        <w:r w:rsidR="006C6ECA">
          <w:rPr>
            <w:noProof/>
            <w:webHidden/>
          </w:rPr>
        </w:r>
        <w:r w:rsidR="006C6ECA">
          <w:rPr>
            <w:noProof/>
            <w:webHidden/>
          </w:rPr>
          <w:fldChar w:fldCharType="separate"/>
        </w:r>
        <w:r w:rsidR="006C6ECA">
          <w:rPr>
            <w:noProof/>
            <w:webHidden/>
          </w:rPr>
          <w:t>8</w:t>
        </w:r>
        <w:r w:rsidR="006C6ECA">
          <w:rPr>
            <w:noProof/>
            <w:webHidden/>
          </w:rPr>
          <w:fldChar w:fldCharType="end"/>
        </w:r>
      </w:hyperlink>
    </w:p>
    <w:p w14:paraId="756079C8" w14:textId="1E881959" w:rsidR="006C6ECA" w:rsidRDefault="00F37A13">
      <w:pPr>
        <w:pStyle w:val="TOC1"/>
        <w:rPr>
          <w:rFonts w:asciiTheme="minorHAnsi" w:eastAsiaTheme="minorEastAsia" w:hAnsiTheme="minorHAnsi" w:cstheme="minorBidi"/>
          <w:noProof/>
          <w:sz w:val="22"/>
          <w:szCs w:val="22"/>
        </w:rPr>
      </w:pPr>
      <w:hyperlink w:anchor="_Toc75965548" w:history="1">
        <w:r w:rsidR="006C6ECA" w:rsidRPr="000E7EBB">
          <w:rPr>
            <w:rStyle w:val="Hyperlink"/>
            <w:noProof/>
          </w:rPr>
          <w:t>IV.</w:t>
        </w:r>
        <w:r w:rsidR="006C6ECA">
          <w:rPr>
            <w:rFonts w:asciiTheme="minorHAnsi" w:eastAsiaTheme="minorEastAsia" w:hAnsiTheme="minorHAnsi" w:cstheme="minorBidi"/>
            <w:noProof/>
            <w:sz w:val="22"/>
            <w:szCs w:val="22"/>
          </w:rPr>
          <w:tab/>
        </w:r>
        <w:r w:rsidR="006C6ECA" w:rsidRPr="000E7EBB">
          <w:rPr>
            <w:rStyle w:val="Hyperlink"/>
            <w:noProof/>
          </w:rPr>
          <w:t>Results and Partnerships</w:t>
        </w:r>
        <w:r w:rsidR="006C6ECA">
          <w:rPr>
            <w:noProof/>
            <w:webHidden/>
          </w:rPr>
          <w:tab/>
        </w:r>
        <w:r w:rsidR="006C6ECA">
          <w:rPr>
            <w:noProof/>
            <w:webHidden/>
          </w:rPr>
          <w:fldChar w:fldCharType="begin"/>
        </w:r>
        <w:r w:rsidR="006C6ECA">
          <w:rPr>
            <w:noProof/>
            <w:webHidden/>
          </w:rPr>
          <w:instrText xml:space="preserve"> PAGEREF _Toc75965548 \h </w:instrText>
        </w:r>
        <w:r w:rsidR="006C6ECA">
          <w:rPr>
            <w:noProof/>
            <w:webHidden/>
          </w:rPr>
        </w:r>
        <w:r w:rsidR="006C6ECA">
          <w:rPr>
            <w:noProof/>
            <w:webHidden/>
          </w:rPr>
          <w:fldChar w:fldCharType="separate"/>
        </w:r>
        <w:r w:rsidR="006C6ECA">
          <w:rPr>
            <w:noProof/>
            <w:webHidden/>
          </w:rPr>
          <w:t>9</w:t>
        </w:r>
        <w:r w:rsidR="006C6ECA">
          <w:rPr>
            <w:noProof/>
            <w:webHidden/>
          </w:rPr>
          <w:fldChar w:fldCharType="end"/>
        </w:r>
      </w:hyperlink>
    </w:p>
    <w:p w14:paraId="112CD3B6" w14:textId="245287A6" w:rsidR="006C6ECA" w:rsidRDefault="00F37A13">
      <w:pPr>
        <w:pStyle w:val="TOC1"/>
        <w:rPr>
          <w:rFonts w:asciiTheme="minorHAnsi" w:eastAsiaTheme="minorEastAsia" w:hAnsiTheme="minorHAnsi" w:cstheme="minorBidi"/>
          <w:noProof/>
          <w:sz w:val="22"/>
          <w:szCs w:val="22"/>
        </w:rPr>
      </w:pPr>
      <w:hyperlink w:anchor="_Toc75965549" w:history="1">
        <w:r w:rsidR="006C6ECA" w:rsidRPr="000E7EBB">
          <w:rPr>
            <w:rStyle w:val="Hyperlink"/>
            <w:noProof/>
          </w:rPr>
          <w:t>V.</w:t>
        </w:r>
        <w:r w:rsidR="006C6ECA">
          <w:rPr>
            <w:rFonts w:asciiTheme="minorHAnsi" w:eastAsiaTheme="minorEastAsia" w:hAnsiTheme="minorHAnsi" w:cstheme="minorBidi"/>
            <w:noProof/>
            <w:sz w:val="22"/>
            <w:szCs w:val="22"/>
          </w:rPr>
          <w:tab/>
        </w:r>
        <w:r w:rsidR="006C6ECA" w:rsidRPr="000E7EBB">
          <w:rPr>
            <w:rStyle w:val="Hyperlink"/>
            <w:noProof/>
          </w:rPr>
          <w:t>Project Results Framework</w:t>
        </w:r>
        <w:r w:rsidR="006C6ECA">
          <w:rPr>
            <w:noProof/>
            <w:webHidden/>
          </w:rPr>
          <w:tab/>
        </w:r>
        <w:r w:rsidR="006C6ECA">
          <w:rPr>
            <w:noProof/>
            <w:webHidden/>
          </w:rPr>
          <w:fldChar w:fldCharType="begin"/>
        </w:r>
        <w:r w:rsidR="006C6ECA">
          <w:rPr>
            <w:noProof/>
            <w:webHidden/>
          </w:rPr>
          <w:instrText xml:space="preserve"> PAGEREF _Toc75965549 \h </w:instrText>
        </w:r>
        <w:r w:rsidR="006C6ECA">
          <w:rPr>
            <w:noProof/>
            <w:webHidden/>
          </w:rPr>
        </w:r>
        <w:r w:rsidR="006C6ECA">
          <w:rPr>
            <w:noProof/>
            <w:webHidden/>
          </w:rPr>
          <w:fldChar w:fldCharType="separate"/>
        </w:r>
        <w:r w:rsidR="006C6ECA">
          <w:rPr>
            <w:noProof/>
            <w:webHidden/>
          </w:rPr>
          <w:t>20</w:t>
        </w:r>
        <w:r w:rsidR="006C6ECA">
          <w:rPr>
            <w:noProof/>
            <w:webHidden/>
          </w:rPr>
          <w:fldChar w:fldCharType="end"/>
        </w:r>
      </w:hyperlink>
    </w:p>
    <w:p w14:paraId="7FC2AFE0" w14:textId="0E5807C0" w:rsidR="006C6ECA" w:rsidRDefault="00F37A13">
      <w:pPr>
        <w:pStyle w:val="TOC1"/>
        <w:rPr>
          <w:rFonts w:asciiTheme="minorHAnsi" w:eastAsiaTheme="minorEastAsia" w:hAnsiTheme="minorHAnsi" w:cstheme="minorBidi"/>
          <w:noProof/>
          <w:sz w:val="22"/>
          <w:szCs w:val="22"/>
        </w:rPr>
      </w:pPr>
      <w:hyperlink w:anchor="_Toc75965550" w:history="1">
        <w:r w:rsidR="006C6ECA" w:rsidRPr="000E7EBB">
          <w:rPr>
            <w:rStyle w:val="Hyperlink"/>
            <w:noProof/>
          </w:rPr>
          <w:t>VI.</w:t>
        </w:r>
        <w:r w:rsidR="006C6ECA">
          <w:rPr>
            <w:rFonts w:asciiTheme="minorHAnsi" w:eastAsiaTheme="minorEastAsia" w:hAnsiTheme="minorHAnsi" w:cstheme="minorBidi"/>
            <w:noProof/>
            <w:sz w:val="22"/>
            <w:szCs w:val="22"/>
          </w:rPr>
          <w:tab/>
        </w:r>
        <w:r w:rsidR="006C6ECA" w:rsidRPr="000E7EBB">
          <w:rPr>
            <w:rStyle w:val="Hyperlink"/>
            <w:noProof/>
          </w:rPr>
          <w:t>Monitoring and Evaluation (M&amp;E) Plan</w:t>
        </w:r>
        <w:r w:rsidR="006C6ECA">
          <w:rPr>
            <w:noProof/>
            <w:webHidden/>
          </w:rPr>
          <w:tab/>
        </w:r>
        <w:r w:rsidR="006C6ECA">
          <w:rPr>
            <w:noProof/>
            <w:webHidden/>
          </w:rPr>
          <w:fldChar w:fldCharType="begin"/>
        </w:r>
        <w:r w:rsidR="006C6ECA">
          <w:rPr>
            <w:noProof/>
            <w:webHidden/>
          </w:rPr>
          <w:instrText xml:space="preserve"> PAGEREF _Toc75965550 \h </w:instrText>
        </w:r>
        <w:r w:rsidR="006C6ECA">
          <w:rPr>
            <w:noProof/>
            <w:webHidden/>
          </w:rPr>
        </w:r>
        <w:r w:rsidR="006C6ECA">
          <w:rPr>
            <w:noProof/>
            <w:webHidden/>
          </w:rPr>
          <w:fldChar w:fldCharType="separate"/>
        </w:r>
        <w:r w:rsidR="006C6ECA">
          <w:rPr>
            <w:noProof/>
            <w:webHidden/>
          </w:rPr>
          <w:t>26</w:t>
        </w:r>
        <w:r w:rsidR="006C6ECA">
          <w:rPr>
            <w:noProof/>
            <w:webHidden/>
          </w:rPr>
          <w:fldChar w:fldCharType="end"/>
        </w:r>
      </w:hyperlink>
    </w:p>
    <w:p w14:paraId="6AE21E81" w14:textId="14223138" w:rsidR="006C6ECA" w:rsidRDefault="00F37A13">
      <w:pPr>
        <w:pStyle w:val="TOC1"/>
        <w:rPr>
          <w:rFonts w:asciiTheme="minorHAnsi" w:eastAsiaTheme="minorEastAsia" w:hAnsiTheme="minorHAnsi" w:cstheme="minorBidi"/>
          <w:noProof/>
          <w:sz w:val="22"/>
          <w:szCs w:val="22"/>
        </w:rPr>
      </w:pPr>
      <w:hyperlink w:anchor="_Toc75965551" w:history="1">
        <w:r w:rsidR="006C6ECA" w:rsidRPr="000E7EBB">
          <w:rPr>
            <w:rStyle w:val="Hyperlink"/>
            <w:noProof/>
          </w:rPr>
          <w:t>VII.</w:t>
        </w:r>
        <w:r w:rsidR="006C6ECA">
          <w:rPr>
            <w:rFonts w:asciiTheme="minorHAnsi" w:eastAsiaTheme="minorEastAsia" w:hAnsiTheme="minorHAnsi" w:cstheme="minorBidi"/>
            <w:noProof/>
            <w:sz w:val="22"/>
            <w:szCs w:val="22"/>
          </w:rPr>
          <w:tab/>
        </w:r>
        <w:r w:rsidR="006C6ECA" w:rsidRPr="000E7EBB">
          <w:rPr>
            <w:rStyle w:val="Hyperlink"/>
            <w:noProof/>
          </w:rPr>
          <w:t>Governance and Management Arrangements</w:t>
        </w:r>
        <w:r w:rsidR="006C6ECA">
          <w:rPr>
            <w:noProof/>
            <w:webHidden/>
          </w:rPr>
          <w:tab/>
        </w:r>
        <w:r w:rsidR="006C6ECA">
          <w:rPr>
            <w:noProof/>
            <w:webHidden/>
          </w:rPr>
          <w:fldChar w:fldCharType="begin"/>
        </w:r>
        <w:r w:rsidR="006C6ECA">
          <w:rPr>
            <w:noProof/>
            <w:webHidden/>
          </w:rPr>
          <w:instrText xml:space="preserve"> PAGEREF _Toc75965551 \h </w:instrText>
        </w:r>
        <w:r w:rsidR="006C6ECA">
          <w:rPr>
            <w:noProof/>
            <w:webHidden/>
          </w:rPr>
        </w:r>
        <w:r w:rsidR="006C6ECA">
          <w:rPr>
            <w:noProof/>
            <w:webHidden/>
          </w:rPr>
          <w:fldChar w:fldCharType="separate"/>
        </w:r>
        <w:r w:rsidR="006C6ECA">
          <w:rPr>
            <w:noProof/>
            <w:webHidden/>
          </w:rPr>
          <w:t>28</w:t>
        </w:r>
        <w:r w:rsidR="006C6ECA">
          <w:rPr>
            <w:noProof/>
            <w:webHidden/>
          </w:rPr>
          <w:fldChar w:fldCharType="end"/>
        </w:r>
      </w:hyperlink>
    </w:p>
    <w:p w14:paraId="7FB93E0F" w14:textId="3937347C" w:rsidR="006C6ECA" w:rsidRDefault="00F37A13">
      <w:pPr>
        <w:pStyle w:val="TOC1"/>
        <w:rPr>
          <w:rFonts w:asciiTheme="minorHAnsi" w:eastAsiaTheme="minorEastAsia" w:hAnsiTheme="minorHAnsi" w:cstheme="minorBidi"/>
          <w:noProof/>
          <w:sz w:val="22"/>
          <w:szCs w:val="22"/>
        </w:rPr>
      </w:pPr>
      <w:hyperlink w:anchor="_Toc75965552" w:history="1">
        <w:r w:rsidR="006C6ECA" w:rsidRPr="000E7EBB">
          <w:rPr>
            <w:rStyle w:val="Hyperlink"/>
            <w:noProof/>
          </w:rPr>
          <w:t>VIII.</w:t>
        </w:r>
        <w:r w:rsidR="006C6ECA">
          <w:rPr>
            <w:rFonts w:asciiTheme="minorHAnsi" w:eastAsiaTheme="minorEastAsia" w:hAnsiTheme="minorHAnsi" w:cstheme="minorBidi"/>
            <w:noProof/>
            <w:sz w:val="22"/>
            <w:szCs w:val="22"/>
          </w:rPr>
          <w:tab/>
        </w:r>
        <w:r w:rsidR="006C6ECA" w:rsidRPr="000E7EBB">
          <w:rPr>
            <w:rStyle w:val="Hyperlink"/>
            <w:noProof/>
          </w:rPr>
          <w:t>Financial Planning and Management</w:t>
        </w:r>
        <w:r w:rsidR="006C6ECA">
          <w:rPr>
            <w:noProof/>
            <w:webHidden/>
          </w:rPr>
          <w:tab/>
        </w:r>
        <w:r w:rsidR="006C6ECA">
          <w:rPr>
            <w:noProof/>
            <w:webHidden/>
          </w:rPr>
          <w:fldChar w:fldCharType="begin"/>
        </w:r>
        <w:r w:rsidR="006C6ECA">
          <w:rPr>
            <w:noProof/>
            <w:webHidden/>
          </w:rPr>
          <w:instrText xml:space="preserve"> PAGEREF _Toc75965552 \h </w:instrText>
        </w:r>
        <w:r w:rsidR="006C6ECA">
          <w:rPr>
            <w:noProof/>
            <w:webHidden/>
          </w:rPr>
        </w:r>
        <w:r w:rsidR="006C6ECA">
          <w:rPr>
            <w:noProof/>
            <w:webHidden/>
          </w:rPr>
          <w:fldChar w:fldCharType="separate"/>
        </w:r>
        <w:r w:rsidR="006C6ECA">
          <w:rPr>
            <w:noProof/>
            <w:webHidden/>
          </w:rPr>
          <w:t>31</w:t>
        </w:r>
        <w:r w:rsidR="006C6ECA">
          <w:rPr>
            <w:noProof/>
            <w:webHidden/>
          </w:rPr>
          <w:fldChar w:fldCharType="end"/>
        </w:r>
      </w:hyperlink>
    </w:p>
    <w:p w14:paraId="008EC7C1" w14:textId="47549451" w:rsidR="006C6ECA" w:rsidRDefault="00F37A13">
      <w:pPr>
        <w:pStyle w:val="TOC1"/>
        <w:rPr>
          <w:rFonts w:asciiTheme="minorHAnsi" w:eastAsiaTheme="minorEastAsia" w:hAnsiTheme="minorHAnsi" w:cstheme="minorBidi"/>
          <w:noProof/>
          <w:sz w:val="22"/>
          <w:szCs w:val="22"/>
        </w:rPr>
      </w:pPr>
      <w:hyperlink w:anchor="_Toc75965553" w:history="1">
        <w:r w:rsidR="006C6ECA" w:rsidRPr="000E7EBB">
          <w:rPr>
            <w:rStyle w:val="Hyperlink"/>
            <w:noProof/>
          </w:rPr>
          <w:t>IX.</w:t>
        </w:r>
        <w:r w:rsidR="006C6ECA">
          <w:rPr>
            <w:rFonts w:asciiTheme="minorHAnsi" w:eastAsiaTheme="minorEastAsia" w:hAnsiTheme="minorHAnsi" w:cstheme="minorBidi"/>
            <w:noProof/>
            <w:sz w:val="22"/>
            <w:szCs w:val="22"/>
          </w:rPr>
          <w:tab/>
        </w:r>
        <w:r w:rsidR="006C6ECA" w:rsidRPr="000E7EBB">
          <w:rPr>
            <w:rStyle w:val="Hyperlink"/>
            <w:noProof/>
          </w:rPr>
          <w:t>Total Budget and Work Plan</w:t>
        </w:r>
        <w:r w:rsidR="006C6ECA">
          <w:rPr>
            <w:noProof/>
            <w:webHidden/>
          </w:rPr>
          <w:tab/>
        </w:r>
        <w:r w:rsidR="006C6ECA">
          <w:rPr>
            <w:noProof/>
            <w:webHidden/>
          </w:rPr>
          <w:fldChar w:fldCharType="begin"/>
        </w:r>
        <w:r w:rsidR="006C6ECA">
          <w:rPr>
            <w:noProof/>
            <w:webHidden/>
          </w:rPr>
          <w:instrText xml:space="preserve"> PAGEREF _Toc75965553 \h </w:instrText>
        </w:r>
        <w:r w:rsidR="006C6ECA">
          <w:rPr>
            <w:noProof/>
            <w:webHidden/>
          </w:rPr>
        </w:r>
        <w:r w:rsidR="006C6ECA">
          <w:rPr>
            <w:noProof/>
            <w:webHidden/>
          </w:rPr>
          <w:fldChar w:fldCharType="separate"/>
        </w:r>
        <w:r w:rsidR="006C6ECA">
          <w:rPr>
            <w:noProof/>
            <w:webHidden/>
          </w:rPr>
          <w:t>33</w:t>
        </w:r>
        <w:r w:rsidR="006C6ECA">
          <w:rPr>
            <w:noProof/>
            <w:webHidden/>
          </w:rPr>
          <w:fldChar w:fldCharType="end"/>
        </w:r>
      </w:hyperlink>
    </w:p>
    <w:p w14:paraId="0091E5CC" w14:textId="018883AB" w:rsidR="006C6ECA" w:rsidRDefault="00F37A13">
      <w:pPr>
        <w:pStyle w:val="TOC1"/>
        <w:rPr>
          <w:rFonts w:asciiTheme="minorHAnsi" w:eastAsiaTheme="minorEastAsia" w:hAnsiTheme="minorHAnsi" w:cstheme="minorBidi"/>
          <w:noProof/>
          <w:sz w:val="22"/>
          <w:szCs w:val="22"/>
        </w:rPr>
      </w:pPr>
      <w:hyperlink w:anchor="_Toc75965554" w:history="1">
        <w:r w:rsidR="006C6ECA" w:rsidRPr="000E7EBB">
          <w:rPr>
            <w:rStyle w:val="Hyperlink"/>
            <w:noProof/>
          </w:rPr>
          <w:t>X.</w:t>
        </w:r>
        <w:r w:rsidR="006C6ECA">
          <w:rPr>
            <w:rFonts w:asciiTheme="minorHAnsi" w:eastAsiaTheme="minorEastAsia" w:hAnsiTheme="minorHAnsi" w:cstheme="minorBidi"/>
            <w:noProof/>
            <w:sz w:val="22"/>
            <w:szCs w:val="22"/>
          </w:rPr>
          <w:tab/>
        </w:r>
        <w:r w:rsidR="006C6ECA" w:rsidRPr="000E7EBB">
          <w:rPr>
            <w:rStyle w:val="Hyperlink"/>
            <w:noProof/>
          </w:rPr>
          <w:t>Legal Context</w:t>
        </w:r>
        <w:r w:rsidR="006C6ECA">
          <w:rPr>
            <w:noProof/>
            <w:webHidden/>
          </w:rPr>
          <w:tab/>
        </w:r>
        <w:r w:rsidR="006C6ECA">
          <w:rPr>
            <w:noProof/>
            <w:webHidden/>
          </w:rPr>
          <w:fldChar w:fldCharType="begin"/>
        </w:r>
        <w:r w:rsidR="006C6ECA">
          <w:rPr>
            <w:noProof/>
            <w:webHidden/>
          </w:rPr>
          <w:instrText xml:space="preserve"> PAGEREF _Toc75965554 \h </w:instrText>
        </w:r>
        <w:r w:rsidR="006C6ECA">
          <w:rPr>
            <w:noProof/>
            <w:webHidden/>
          </w:rPr>
        </w:r>
        <w:r w:rsidR="006C6ECA">
          <w:rPr>
            <w:noProof/>
            <w:webHidden/>
          </w:rPr>
          <w:fldChar w:fldCharType="separate"/>
        </w:r>
        <w:r w:rsidR="006C6ECA">
          <w:rPr>
            <w:noProof/>
            <w:webHidden/>
          </w:rPr>
          <w:t>37</w:t>
        </w:r>
        <w:r w:rsidR="006C6ECA">
          <w:rPr>
            <w:noProof/>
            <w:webHidden/>
          </w:rPr>
          <w:fldChar w:fldCharType="end"/>
        </w:r>
      </w:hyperlink>
    </w:p>
    <w:p w14:paraId="78297CCD" w14:textId="685B1FB3" w:rsidR="006C6ECA" w:rsidRDefault="00F37A13">
      <w:pPr>
        <w:pStyle w:val="TOC1"/>
        <w:rPr>
          <w:rFonts w:asciiTheme="minorHAnsi" w:eastAsiaTheme="minorEastAsia" w:hAnsiTheme="minorHAnsi" w:cstheme="minorBidi"/>
          <w:noProof/>
          <w:sz w:val="22"/>
          <w:szCs w:val="22"/>
        </w:rPr>
      </w:pPr>
      <w:hyperlink w:anchor="_Toc75965555" w:history="1">
        <w:r w:rsidR="006C6ECA" w:rsidRPr="000E7EBB">
          <w:rPr>
            <w:rStyle w:val="Hyperlink"/>
            <w:noProof/>
          </w:rPr>
          <w:t>XI.</w:t>
        </w:r>
        <w:r w:rsidR="006C6ECA">
          <w:rPr>
            <w:rFonts w:asciiTheme="minorHAnsi" w:eastAsiaTheme="minorEastAsia" w:hAnsiTheme="minorHAnsi" w:cstheme="minorBidi"/>
            <w:noProof/>
            <w:sz w:val="22"/>
            <w:szCs w:val="22"/>
          </w:rPr>
          <w:tab/>
        </w:r>
        <w:r w:rsidR="006C6ECA" w:rsidRPr="000E7EBB">
          <w:rPr>
            <w:rStyle w:val="Hyperlink"/>
            <w:noProof/>
          </w:rPr>
          <w:t>Risk Management</w:t>
        </w:r>
        <w:r w:rsidR="006C6ECA">
          <w:rPr>
            <w:noProof/>
            <w:webHidden/>
          </w:rPr>
          <w:tab/>
        </w:r>
        <w:r w:rsidR="006C6ECA">
          <w:rPr>
            <w:noProof/>
            <w:webHidden/>
          </w:rPr>
          <w:fldChar w:fldCharType="begin"/>
        </w:r>
        <w:r w:rsidR="006C6ECA">
          <w:rPr>
            <w:noProof/>
            <w:webHidden/>
          </w:rPr>
          <w:instrText xml:space="preserve"> PAGEREF _Toc75965555 \h </w:instrText>
        </w:r>
        <w:r w:rsidR="006C6ECA">
          <w:rPr>
            <w:noProof/>
            <w:webHidden/>
          </w:rPr>
        </w:r>
        <w:r w:rsidR="006C6ECA">
          <w:rPr>
            <w:noProof/>
            <w:webHidden/>
          </w:rPr>
          <w:fldChar w:fldCharType="separate"/>
        </w:r>
        <w:r w:rsidR="006C6ECA">
          <w:rPr>
            <w:noProof/>
            <w:webHidden/>
          </w:rPr>
          <w:t>38</w:t>
        </w:r>
        <w:r w:rsidR="006C6ECA">
          <w:rPr>
            <w:noProof/>
            <w:webHidden/>
          </w:rPr>
          <w:fldChar w:fldCharType="end"/>
        </w:r>
      </w:hyperlink>
    </w:p>
    <w:p w14:paraId="6AA5CAED" w14:textId="64D5F1F1" w:rsidR="006C6ECA" w:rsidRDefault="00F37A13">
      <w:pPr>
        <w:pStyle w:val="TOC1"/>
        <w:rPr>
          <w:rFonts w:asciiTheme="minorHAnsi" w:eastAsiaTheme="minorEastAsia" w:hAnsiTheme="minorHAnsi" w:cstheme="minorBidi"/>
          <w:noProof/>
          <w:sz w:val="22"/>
          <w:szCs w:val="22"/>
        </w:rPr>
      </w:pPr>
      <w:hyperlink w:anchor="_Toc75965556" w:history="1">
        <w:r w:rsidR="006C6ECA" w:rsidRPr="000E7EBB">
          <w:rPr>
            <w:rStyle w:val="Hyperlink"/>
            <w:noProof/>
          </w:rPr>
          <w:t>XII.</w:t>
        </w:r>
        <w:r w:rsidR="006C6ECA">
          <w:rPr>
            <w:rFonts w:asciiTheme="minorHAnsi" w:eastAsiaTheme="minorEastAsia" w:hAnsiTheme="minorHAnsi" w:cstheme="minorBidi"/>
            <w:noProof/>
            <w:sz w:val="22"/>
            <w:szCs w:val="22"/>
          </w:rPr>
          <w:tab/>
        </w:r>
        <w:r w:rsidR="006C6ECA" w:rsidRPr="000E7EBB">
          <w:rPr>
            <w:rStyle w:val="Hyperlink"/>
            <w:noProof/>
          </w:rPr>
          <w:t>Mandatory Annexes</w:t>
        </w:r>
        <w:r w:rsidR="006C6ECA">
          <w:rPr>
            <w:noProof/>
            <w:webHidden/>
          </w:rPr>
          <w:tab/>
        </w:r>
        <w:r w:rsidR="006C6ECA">
          <w:rPr>
            <w:noProof/>
            <w:webHidden/>
          </w:rPr>
          <w:fldChar w:fldCharType="begin"/>
        </w:r>
        <w:r w:rsidR="006C6ECA">
          <w:rPr>
            <w:noProof/>
            <w:webHidden/>
          </w:rPr>
          <w:instrText xml:space="preserve"> PAGEREF _Toc75965556 \h </w:instrText>
        </w:r>
        <w:r w:rsidR="006C6ECA">
          <w:rPr>
            <w:noProof/>
            <w:webHidden/>
          </w:rPr>
        </w:r>
        <w:r w:rsidR="006C6ECA">
          <w:rPr>
            <w:noProof/>
            <w:webHidden/>
          </w:rPr>
          <w:fldChar w:fldCharType="separate"/>
        </w:r>
        <w:r w:rsidR="006C6ECA">
          <w:rPr>
            <w:noProof/>
            <w:webHidden/>
          </w:rPr>
          <w:t>41</w:t>
        </w:r>
        <w:r w:rsidR="006C6ECA">
          <w:rPr>
            <w:noProof/>
            <w:webHidden/>
          </w:rPr>
          <w:fldChar w:fldCharType="end"/>
        </w:r>
      </w:hyperlink>
    </w:p>
    <w:p w14:paraId="7566E0C1" w14:textId="2ECAC1B0" w:rsidR="006C6ECA" w:rsidRDefault="00F37A13" w:rsidP="006C6ECA">
      <w:pPr>
        <w:pStyle w:val="TOC2"/>
        <w:rPr>
          <w:rFonts w:asciiTheme="minorHAnsi" w:eastAsiaTheme="minorEastAsia" w:hAnsiTheme="minorHAnsi" w:cstheme="minorBidi"/>
          <w:sz w:val="22"/>
          <w:szCs w:val="22"/>
        </w:rPr>
      </w:pPr>
      <w:hyperlink w:anchor="_Toc75965557" w:history="1">
        <w:r w:rsidR="006C6ECA" w:rsidRPr="000E7EBB">
          <w:rPr>
            <w:rStyle w:val="Hyperlink"/>
            <w:rFonts w:cstheme="minorHAnsi"/>
          </w:rPr>
          <w:t>Annex 1: GEF Budget Template</w:t>
        </w:r>
        <w:r w:rsidR="006C6ECA">
          <w:rPr>
            <w:webHidden/>
          </w:rPr>
          <w:tab/>
        </w:r>
        <w:r w:rsidR="006C6ECA">
          <w:rPr>
            <w:webHidden/>
          </w:rPr>
          <w:fldChar w:fldCharType="begin"/>
        </w:r>
        <w:r w:rsidR="006C6ECA">
          <w:rPr>
            <w:webHidden/>
          </w:rPr>
          <w:instrText xml:space="preserve"> PAGEREF _Toc75965557 \h </w:instrText>
        </w:r>
        <w:r w:rsidR="006C6ECA">
          <w:rPr>
            <w:webHidden/>
          </w:rPr>
        </w:r>
        <w:r w:rsidR="006C6ECA">
          <w:rPr>
            <w:webHidden/>
          </w:rPr>
          <w:fldChar w:fldCharType="separate"/>
        </w:r>
        <w:r w:rsidR="006C6ECA">
          <w:rPr>
            <w:webHidden/>
          </w:rPr>
          <w:t>42</w:t>
        </w:r>
        <w:r w:rsidR="006C6ECA">
          <w:rPr>
            <w:webHidden/>
          </w:rPr>
          <w:fldChar w:fldCharType="end"/>
        </w:r>
      </w:hyperlink>
    </w:p>
    <w:p w14:paraId="06C93338" w14:textId="39263B2A" w:rsidR="006C6ECA" w:rsidRDefault="00F37A13" w:rsidP="006C6ECA">
      <w:pPr>
        <w:pStyle w:val="TOC2"/>
        <w:rPr>
          <w:rFonts w:asciiTheme="minorHAnsi" w:eastAsiaTheme="minorEastAsia" w:hAnsiTheme="minorHAnsi" w:cstheme="minorBidi"/>
          <w:sz w:val="22"/>
          <w:szCs w:val="22"/>
        </w:rPr>
      </w:pPr>
      <w:hyperlink w:anchor="_Toc75965558" w:history="1">
        <w:r w:rsidR="006C6ECA" w:rsidRPr="000E7EBB">
          <w:rPr>
            <w:rStyle w:val="Hyperlink"/>
          </w:rPr>
          <w:t>Annex 2: Project map and Geospatial Coordinates of project sites</w:t>
        </w:r>
        <w:r w:rsidR="006C6ECA">
          <w:rPr>
            <w:webHidden/>
          </w:rPr>
          <w:tab/>
        </w:r>
        <w:r w:rsidR="006C6ECA">
          <w:rPr>
            <w:webHidden/>
          </w:rPr>
          <w:fldChar w:fldCharType="begin"/>
        </w:r>
        <w:r w:rsidR="006C6ECA">
          <w:rPr>
            <w:webHidden/>
          </w:rPr>
          <w:instrText xml:space="preserve"> PAGEREF _Toc75965558 \h </w:instrText>
        </w:r>
        <w:r w:rsidR="006C6ECA">
          <w:rPr>
            <w:webHidden/>
          </w:rPr>
        </w:r>
        <w:r w:rsidR="006C6ECA">
          <w:rPr>
            <w:webHidden/>
          </w:rPr>
          <w:fldChar w:fldCharType="separate"/>
        </w:r>
        <w:r w:rsidR="006C6ECA">
          <w:rPr>
            <w:webHidden/>
          </w:rPr>
          <w:t>43</w:t>
        </w:r>
        <w:r w:rsidR="006C6ECA">
          <w:rPr>
            <w:webHidden/>
          </w:rPr>
          <w:fldChar w:fldCharType="end"/>
        </w:r>
      </w:hyperlink>
    </w:p>
    <w:p w14:paraId="6FBE9C6B" w14:textId="230F6702" w:rsidR="006C6ECA" w:rsidRDefault="00F37A13" w:rsidP="006C6ECA">
      <w:pPr>
        <w:pStyle w:val="TOC2"/>
        <w:rPr>
          <w:rFonts w:asciiTheme="minorHAnsi" w:eastAsiaTheme="minorEastAsia" w:hAnsiTheme="minorHAnsi" w:cstheme="minorBidi"/>
          <w:sz w:val="22"/>
          <w:szCs w:val="22"/>
        </w:rPr>
      </w:pPr>
      <w:hyperlink w:anchor="_Toc75965559" w:history="1">
        <w:r w:rsidR="006C6ECA" w:rsidRPr="000E7EBB">
          <w:rPr>
            <w:rStyle w:val="Hyperlink"/>
          </w:rPr>
          <w:t>Annex 3: Multi Year Work Plan</w:t>
        </w:r>
        <w:r w:rsidR="006C6ECA">
          <w:rPr>
            <w:webHidden/>
          </w:rPr>
          <w:tab/>
        </w:r>
        <w:r w:rsidR="006C6ECA">
          <w:rPr>
            <w:webHidden/>
          </w:rPr>
          <w:fldChar w:fldCharType="begin"/>
        </w:r>
        <w:r w:rsidR="006C6ECA">
          <w:rPr>
            <w:webHidden/>
          </w:rPr>
          <w:instrText xml:space="preserve"> PAGEREF _Toc75965559 \h </w:instrText>
        </w:r>
        <w:r w:rsidR="006C6ECA">
          <w:rPr>
            <w:webHidden/>
          </w:rPr>
        </w:r>
        <w:r w:rsidR="006C6ECA">
          <w:rPr>
            <w:webHidden/>
          </w:rPr>
          <w:fldChar w:fldCharType="separate"/>
        </w:r>
        <w:r w:rsidR="006C6ECA">
          <w:rPr>
            <w:webHidden/>
          </w:rPr>
          <w:t>44</w:t>
        </w:r>
        <w:r w:rsidR="006C6ECA">
          <w:rPr>
            <w:webHidden/>
          </w:rPr>
          <w:fldChar w:fldCharType="end"/>
        </w:r>
      </w:hyperlink>
    </w:p>
    <w:p w14:paraId="7E83B419" w14:textId="04DC5C6E" w:rsidR="006C6ECA" w:rsidRDefault="00F37A13" w:rsidP="006C6ECA">
      <w:pPr>
        <w:pStyle w:val="TOC2"/>
        <w:rPr>
          <w:rFonts w:asciiTheme="minorHAnsi" w:eastAsiaTheme="minorEastAsia" w:hAnsiTheme="minorHAnsi" w:cstheme="minorBidi"/>
          <w:sz w:val="22"/>
          <w:szCs w:val="22"/>
        </w:rPr>
      </w:pPr>
      <w:hyperlink w:anchor="_Toc75965560" w:history="1">
        <w:r w:rsidR="006C6ECA" w:rsidRPr="000E7EBB">
          <w:rPr>
            <w:rStyle w:val="Hyperlink"/>
            <w:rFonts w:cstheme="minorHAnsi"/>
          </w:rPr>
          <w:t>Annex 4: Monitoring Plan</w:t>
        </w:r>
        <w:r w:rsidR="006C6ECA">
          <w:rPr>
            <w:webHidden/>
          </w:rPr>
          <w:tab/>
        </w:r>
        <w:r w:rsidR="006C6ECA">
          <w:rPr>
            <w:webHidden/>
          </w:rPr>
          <w:fldChar w:fldCharType="begin"/>
        </w:r>
        <w:r w:rsidR="006C6ECA">
          <w:rPr>
            <w:webHidden/>
          </w:rPr>
          <w:instrText xml:space="preserve"> PAGEREF _Toc75965560 \h </w:instrText>
        </w:r>
        <w:r w:rsidR="006C6ECA">
          <w:rPr>
            <w:webHidden/>
          </w:rPr>
        </w:r>
        <w:r w:rsidR="006C6ECA">
          <w:rPr>
            <w:webHidden/>
          </w:rPr>
          <w:fldChar w:fldCharType="separate"/>
        </w:r>
        <w:r w:rsidR="006C6ECA">
          <w:rPr>
            <w:webHidden/>
          </w:rPr>
          <w:t>46</w:t>
        </w:r>
        <w:r w:rsidR="006C6ECA">
          <w:rPr>
            <w:webHidden/>
          </w:rPr>
          <w:fldChar w:fldCharType="end"/>
        </w:r>
      </w:hyperlink>
    </w:p>
    <w:p w14:paraId="1DA10D68" w14:textId="17018180" w:rsidR="006C6ECA" w:rsidRDefault="00F37A13" w:rsidP="006C6ECA">
      <w:pPr>
        <w:pStyle w:val="TOC2"/>
        <w:rPr>
          <w:rFonts w:asciiTheme="minorHAnsi" w:eastAsiaTheme="minorEastAsia" w:hAnsiTheme="minorHAnsi" w:cstheme="minorBidi"/>
          <w:sz w:val="22"/>
          <w:szCs w:val="22"/>
        </w:rPr>
      </w:pPr>
      <w:hyperlink w:anchor="_Toc75965561" w:history="1">
        <w:r w:rsidR="006C6ECA" w:rsidRPr="000E7EBB">
          <w:rPr>
            <w:rStyle w:val="Hyperlink"/>
            <w:rFonts w:cs="Calibri"/>
          </w:rPr>
          <w:t>Annex 5: UNDP Risk Register</w:t>
        </w:r>
        <w:r w:rsidR="006C6ECA">
          <w:rPr>
            <w:webHidden/>
          </w:rPr>
          <w:tab/>
        </w:r>
        <w:r w:rsidR="006C6ECA">
          <w:rPr>
            <w:webHidden/>
          </w:rPr>
          <w:fldChar w:fldCharType="begin"/>
        </w:r>
        <w:r w:rsidR="006C6ECA">
          <w:rPr>
            <w:webHidden/>
          </w:rPr>
          <w:instrText xml:space="preserve"> PAGEREF _Toc75965561 \h </w:instrText>
        </w:r>
        <w:r w:rsidR="006C6ECA">
          <w:rPr>
            <w:webHidden/>
          </w:rPr>
        </w:r>
        <w:r w:rsidR="006C6ECA">
          <w:rPr>
            <w:webHidden/>
          </w:rPr>
          <w:fldChar w:fldCharType="separate"/>
        </w:r>
        <w:r w:rsidR="006C6ECA">
          <w:rPr>
            <w:webHidden/>
          </w:rPr>
          <w:t>54</w:t>
        </w:r>
        <w:r w:rsidR="006C6ECA">
          <w:rPr>
            <w:webHidden/>
          </w:rPr>
          <w:fldChar w:fldCharType="end"/>
        </w:r>
      </w:hyperlink>
    </w:p>
    <w:p w14:paraId="468C1F08" w14:textId="4DD6EB76" w:rsidR="006C6ECA" w:rsidRDefault="00F37A13" w:rsidP="006C6ECA">
      <w:pPr>
        <w:pStyle w:val="TOC2"/>
        <w:rPr>
          <w:rFonts w:asciiTheme="minorHAnsi" w:eastAsiaTheme="minorEastAsia" w:hAnsiTheme="minorHAnsi" w:cstheme="minorBidi"/>
          <w:sz w:val="22"/>
          <w:szCs w:val="22"/>
        </w:rPr>
      </w:pPr>
      <w:hyperlink w:anchor="_Toc75965562" w:history="1">
        <w:r w:rsidR="006C6ECA" w:rsidRPr="000E7EBB">
          <w:rPr>
            <w:rStyle w:val="Hyperlink"/>
          </w:rPr>
          <w:t>Annex 6: UNDP Social and Environmental Screening Procedure (SESP)</w:t>
        </w:r>
        <w:r w:rsidR="006C6ECA">
          <w:rPr>
            <w:webHidden/>
          </w:rPr>
          <w:tab/>
        </w:r>
        <w:r w:rsidR="006C6ECA">
          <w:rPr>
            <w:webHidden/>
          </w:rPr>
          <w:fldChar w:fldCharType="begin"/>
        </w:r>
        <w:r w:rsidR="006C6ECA">
          <w:rPr>
            <w:webHidden/>
          </w:rPr>
          <w:instrText xml:space="preserve"> PAGEREF _Toc75965562 \h </w:instrText>
        </w:r>
        <w:r w:rsidR="006C6ECA">
          <w:rPr>
            <w:webHidden/>
          </w:rPr>
        </w:r>
        <w:r w:rsidR="006C6ECA">
          <w:rPr>
            <w:webHidden/>
          </w:rPr>
          <w:fldChar w:fldCharType="separate"/>
        </w:r>
        <w:r w:rsidR="006C6ECA">
          <w:rPr>
            <w:webHidden/>
          </w:rPr>
          <w:t>57</w:t>
        </w:r>
        <w:r w:rsidR="006C6ECA">
          <w:rPr>
            <w:webHidden/>
          </w:rPr>
          <w:fldChar w:fldCharType="end"/>
        </w:r>
      </w:hyperlink>
    </w:p>
    <w:p w14:paraId="088F3DFE" w14:textId="09E096BE" w:rsidR="006C6ECA" w:rsidRDefault="00F37A13" w:rsidP="006C6ECA">
      <w:pPr>
        <w:pStyle w:val="TOC2"/>
        <w:rPr>
          <w:rFonts w:asciiTheme="minorHAnsi" w:eastAsiaTheme="minorEastAsia" w:hAnsiTheme="minorHAnsi" w:cstheme="minorBidi"/>
          <w:sz w:val="22"/>
          <w:szCs w:val="22"/>
        </w:rPr>
      </w:pPr>
      <w:hyperlink w:anchor="_Toc75965563" w:history="1">
        <w:r w:rsidR="006C6ECA" w:rsidRPr="000E7EBB">
          <w:rPr>
            <w:rStyle w:val="Hyperlink"/>
          </w:rPr>
          <w:t>Annex 7:  Overview of Project Staff and Technical Consultancies</w:t>
        </w:r>
        <w:r w:rsidR="006C6ECA">
          <w:rPr>
            <w:webHidden/>
          </w:rPr>
          <w:tab/>
        </w:r>
        <w:r w:rsidR="006C6ECA">
          <w:rPr>
            <w:webHidden/>
          </w:rPr>
          <w:fldChar w:fldCharType="begin"/>
        </w:r>
        <w:r w:rsidR="006C6ECA">
          <w:rPr>
            <w:webHidden/>
          </w:rPr>
          <w:instrText xml:space="preserve"> PAGEREF _Toc75965563 \h </w:instrText>
        </w:r>
        <w:r w:rsidR="006C6ECA">
          <w:rPr>
            <w:webHidden/>
          </w:rPr>
        </w:r>
        <w:r w:rsidR="006C6ECA">
          <w:rPr>
            <w:webHidden/>
          </w:rPr>
          <w:fldChar w:fldCharType="separate"/>
        </w:r>
        <w:r w:rsidR="006C6ECA">
          <w:rPr>
            <w:webHidden/>
          </w:rPr>
          <w:t>58</w:t>
        </w:r>
        <w:r w:rsidR="006C6ECA">
          <w:rPr>
            <w:webHidden/>
          </w:rPr>
          <w:fldChar w:fldCharType="end"/>
        </w:r>
      </w:hyperlink>
    </w:p>
    <w:p w14:paraId="7A49E2B5" w14:textId="15D7D058" w:rsidR="006C6ECA" w:rsidRDefault="00F37A13" w:rsidP="006C6ECA">
      <w:pPr>
        <w:pStyle w:val="TOC2"/>
        <w:rPr>
          <w:rFonts w:asciiTheme="minorHAnsi" w:eastAsiaTheme="minorEastAsia" w:hAnsiTheme="minorHAnsi" w:cstheme="minorBidi"/>
          <w:sz w:val="22"/>
          <w:szCs w:val="22"/>
        </w:rPr>
      </w:pPr>
      <w:hyperlink w:anchor="_Toc75965564" w:history="1">
        <w:r w:rsidR="006C6ECA" w:rsidRPr="000E7EBB">
          <w:rPr>
            <w:rStyle w:val="Hyperlink"/>
          </w:rPr>
          <w:t>Annex 8:  Stakeholder Engagement Plan</w:t>
        </w:r>
        <w:r w:rsidR="006C6ECA">
          <w:rPr>
            <w:webHidden/>
          </w:rPr>
          <w:tab/>
        </w:r>
        <w:r w:rsidR="006C6ECA">
          <w:rPr>
            <w:webHidden/>
          </w:rPr>
          <w:fldChar w:fldCharType="begin"/>
        </w:r>
        <w:r w:rsidR="006C6ECA">
          <w:rPr>
            <w:webHidden/>
          </w:rPr>
          <w:instrText xml:space="preserve"> PAGEREF _Toc75965564 \h </w:instrText>
        </w:r>
        <w:r w:rsidR="006C6ECA">
          <w:rPr>
            <w:webHidden/>
          </w:rPr>
        </w:r>
        <w:r w:rsidR="006C6ECA">
          <w:rPr>
            <w:webHidden/>
          </w:rPr>
          <w:fldChar w:fldCharType="separate"/>
        </w:r>
        <w:r w:rsidR="006C6ECA">
          <w:rPr>
            <w:webHidden/>
          </w:rPr>
          <w:t>62</w:t>
        </w:r>
        <w:r w:rsidR="006C6ECA">
          <w:rPr>
            <w:webHidden/>
          </w:rPr>
          <w:fldChar w:fldCharType="end"/>
        </w:r>
      </w:hyperlink>
    </w:p>
    <w:p w14:paraId="7F8B24BF" w14:textId="1C0969C5" w:rsidR="006C6ECA" w:rsidRDefault="00F37A13" w:rsidP="006C6ECA">
      <w:pPr>
        <w:pStyle w:val="TOC2"/>
        <w:rPr>
          <w:rFonts w:asciiTheme="minorHAnsi" w:eastAsiaTheme="minorEastAsia" w:hAnsiTheme="minorHAnsi" w:cstheme="minorBidi"/>
          <w:sz w:val="22"/>
          <w:szCs w:val="22"/>
        </w:rPr>
      </w:pPr>
      <w:hyperlink w:anchor="_Toc75965565" w:history="1">
        <w:r w:rsidR="006C6ECA" w:rsidRPr="000E7EBB">
          <w:rPr>
            <w:rStyle w:val="Hyperlink"/>
            <w:rFonts w:cstheme="minorHAnsi"/>
          </w:rPr>
          <w:t>Annex 9: Gender Analysis and Gender Action Plan</w:t>
        </w:r>
        <w:r w:rsidR="006C6ECA">
          <w:rPr>
            <w:webHidden/>
          </w:rPr>
          <w:tab/>
        </w:r>
        <w:r w:rsidR="006C6ECA">
          <w:rPr>
            <w:webHidden/>
          </w:rPr>
          <w:fldChar w:fldCharType="begin"/>
        </w:r>
        <w:r w:rsidR="006C6ECA">
          <w:rPr>
            <w:webHidden/>
          </w:rPr>
          <w:instrText xml:space="preserve"> PAGEREF _Toc75965565 \h </w:instrText>
        </w:r>
        <w:r w:rsidR="006C6ECA">
          <w:rPr>
            <w:webHidden/>
          </w:rPr>
        </w:r>
        <w:r w:rsidR="006C6ECA">
          <w:rPr>
            <w:webHidden/>
          </w:rPr>
          <w:fldChar w:fldCharType="separate"/>
        </w:r>
        <w:r w:rsidR="006C6ECA">
          <w:rPr>
            <w:webHidden/>
          </w:rPr>
          <w:t>67</w:t>
        </w:r>
        <w:r w:rsidR="006C6ECA">
          <w:rPr>
            <w:webHidden/>
          </w:rPr>
          <w:fldChar w:fldCharType="end"/>
        </w:r>
      </w:hyperlink>
    </w:p>
    <w:p w14:paraId="180DC247" w14:textId="4BD5D82D" w:rsidR="006C6ECA" w:rsidRPr="006C6ECA" w:rsidRDefault="00F37A13" w:rsidP="006C6ECA">
      <w:pPr>
        <w:pStyle w:val="TOC2"/>
        <w:rPr>
          <w:rFonts w:asciiTheme="minorHAnsi" w:eastAsiaTheme="minorEastAsia" w:hAnsiTheme="minorHAnsi" w:cstheme="minorBidi"/>
          <w:sz w:val="22"/>
          <w:szCs w:val="22"/>
        </w:rPr>
      </w:pPr>
      <w:hyperlink w:anchor="_Toc75965566" w:history="1">
        <w:r w:rsidR="006C6ECA" w:rsidRPr="006C6ECA">
          <w:rPr>
            <w:rStyle w:val="Hyperlink"/>
            <w:rFonts w:cstheme="minorHAnsi"/>
          </w:rPr>
          <w:t>Annex 10: GEF focal area specific annexes</w:t>
        </w:r>
        <w:r w:rsidR="006C6ECA" w:rsidRPr="006C6ECA">
          <w:rPr>
            <w:rStyle w:val="Hyperlink"/>
          </w:rPr>
          <w:t xml:space="preserve"> (e.g. METT, GHG calculations, target landscape profile, feasibility study, other technical reports)</w:t>
        </w:r>
        <w:r w:rsidR="006C6ECA" w:rsidRPr="006C6ECA">
          <w:rPr>
            <w:webHidden/>
          </w:rPr>
          <w:tab/>
        </w:r>
        <w:r w:rsidR="006C6ECA" w:rsidRPr="006C6ECA">
          <w:rPr>
            <w:webHidden/>
          </w:rPr>
          <w:fldChar w:fldCharType="begin"/>
        </w:r>
        <w:r w:rsidR="006C6ECA" w:rsidRPr="006C6ECA">
          <w:rPr>
            <w:webHidden/>
          </w:rPr>
          <w:instrText xml:space="preserve"> PAGEREF _Toc75965566 \h </w:instrText>
        </w:r>
        <w:r w:rsidR="006C6ECA" w:rsidRPr="006C6ECA">
          <w:rPr>
            <w:webHidden/>
          </w:rPr>
        </w:r>
        <w:r w:rsidR="006C6ECA" w:rsidRPr="006C6ECA">
          <w:rPr>
            <w:webHidden/>
          </w:rPr>
          <w:fldChar w:fldCharType="separate"/>
        </w:r>
        <w:r w:rsidR="006C6ECA" w:rsidRPr="006C6ECA">
          <w:rPr>
            <w:webHidden/>
          </w:rPr>
          <w:t>69</w:t>
        </w:r>
        <w:r w:rsidR="006C6ECA" w:rsidRPr="006C6ECA">
          <w:rPr>
            <w:webHidden/>
          </w:rPr>
          <w:fldChar w:fldCharType="end"/>
        </w:r>
      </w:hyperlink>
    </w:p>
    <w:p w14:paraId="62E2E041" w14:textId="5AF013C1" w:rsidR="006C6ECA" w:rsidRDefault="00F37A13" w:rsidP="006C6ECA">
      <w:pPr>
        <w:pStyle w:val="TOC2"/>
        <w:rPr>
          <w:rFonts w:asciiTheme="minorHAnsi" w:eastAsiaTheme="minorEastAsia" w:hAnsiTheme="minorHAnsi" w:cstheme="minorBidi"/>
          <w:sz w:val="22"/>
          <w:szCs w:val="22"/>
        </w:rPr>
      </w:pPr>
      <w:hyperlink w:anchor="_Toc75965567" w:history="1">
        <w:r w:rsidR="006C6ECA" w:rsidRPr="000E7EBB">
          <w:rPr>
            <w:rStyle w:val="Hyperlink"/>
            <w:rFonts w:asciiTheme="majorHAnsi" w:hAnsiTheme="majorHAnsi" w:cstheme="majorHAnsi"/>
          </w:rPr>
          <w:t>Annex 11: Procurement Plan – for the first year of implementation especially</w:t>
        </w:r>
        <w:r w:rsidR="006C6ECA">
          <w:rPr>
            <w:webHidden/>
          </w:rPr>
          <w:tab/>
        </w:r>
        <w:r w:rsidR="006C6ECA">
          <w:rPr>
            <w:webHidden/>
          </w:rPr>
          <w:fldChar w:fldCharType="begin"/>
        </w:r>
        <w:r w:rsidR="006C6ECA">
          <w:rPr>
            <w:webHidden/>
          </w:rPr>
          <w:instrText xml:space="preserve"> PAGEREF _Toc75965567 \h </w:instrText>
        </w:r>
        <w:r w:rsidR="006C6ECA">
          <w:rPr>
            <w:webHidden/>
          </w:rPr>
        </w:r>
        <w:r w:rsidR="006C6ECA">
          <w:rPr>
            <w:webHidden/>
          </w:rPr>
          <w:fldChar w:fldCharType="separate"/>
        </w:r>
        <w:r w:rsidR="006C6ECA">
          <w:rPr>
            <w:webHidden/>
          </w:rPr>
          <w:t>71</w:t>
        </w:r>
        <w:r w:rsidR="006C6ECA">
          <w:rPr>
            <w:webHidden/>
          </w:rPr>
          <w:fldChar w:fldCharType="end"/>
        </w:r>
      </w:hyperlink>
    </w:p>
    <w:p w14:paraId="34C1FBE0" w14:textId="7237076A" w:rsidR="006C6ECA" w:rsidRDefault="00F37A13" w:rsidP="006C6ECA">
      <w:pPr>
        <w:pStyle w:val="TOC2"/>
        <w:rPr>
          <w:rFonts w:asciiTheme="minorHAnsi" w:eastAsiaTheme="minorEastAsia" w:hAnsiTheme="minorHAnsi" w:cstheme="minorBidi"/>
          <w:sz w:val="22"/>
          <w:szCs w:val="22"/>
        </w:rPr>
      </w:pPr>
      <w:hyperlink w:anchor="_Toc75965568" w:history="1">
        <w:r w:rsidR="006C6ECA" w:rsidRPr="000E7EBB">
          <w:rPr>
            <w:rStyle w:val="Hyperlink"/>
          </w:rPr>
          <w:t>Annex 12: GEF 7 Taxonomy</w:t>
        </w:r>
        <w:r w:rsidR="006C6ECA">
          <w:rPr>
            <w:webHidden/>
          </w:rPr>
          <w:tab/>
        </w:r>
        <w:r w:rsidR="006C6ECA">
          <w:rPr>
            <w:webHidden/>
          </w:rPr>
          <w:fldChar w:fldCharType="begin"/>
        </w:r>
        <w:r w:rsidR="006C6ECA">
          <w:rPr>
            <w:webHidden/>
          </w:rPr>
          <w:instrText xml:space="preserve"> PAGEREF _Toc75965568 \h </w:instrText>
        </w:r>
        <w:r w:rsidR="006C6ECA">
          <w:rPr>
            <w:webHidden/>
          </w:rPr>
        </w:r>
        <w:r w:rsidR="006C6ECA">
          <w:rPr>
            <w:webHidden/>
          </w:rPr>
          <w:fldChar w:fldCharType="separate"/>
        </w:r>
        <w:r w:rsidR="006C6ECA">
          <w:rPr>
            <w:webHidden/>
          </w:rPr>
          <w:t>72</w:t>
        </w:r>
        <w:r w:rsidR="006C6ECA">
          <w:rPr>
            <w:webHidden/>
          </w:rPr>
          <w:fldChar w:fldCharType="end"/>
        </w:r>
      </w:hyperlink>
    </w:p>
    <w:p w14:paraId="10E8872F" w14:textId="5376E325" w:rsidR="006C6ECA" w:rsidRDefault="00F37A13" w:rsidP="006C6ECA">
      <w:pPr>
        <w:pStyle w:val="TOC2"/>
        <w:rPr>
          <w:rFonts w:asciiTheme="minorHAnsi" w:eastAsiaTheme="minorEastAsia" w:hAnsiTheme="minorHAnsi" w:cstheme="minorBidi"/>
          <w:sz w:val="22"/>
          <w:szCs w:val="22"/>
        </w:rPr>
      </w:pPr>
      <w:hyperlink w:anchor="_Toc75965569" w:history="1">
        <w:r w:rsidR="006C6ECA" w:rsidRPr="000E7EBB">
          <w:rPr>
            <w:rStyle w:val="Hyperlink"/>
            <w:rFonts w:asciiTheme="majorHAnsi" w:hAnsiTheme="majorHAnsi" w:cstheme="majorHAnsi"/>
          </w:rPr>
          <w:t>Annex 13: Partners Capacity Assessment Tool and HACT assessment</w:t>
        </w:r>
        <w:r w:rsidR="006C6ECA">
          <w:rPr>
            <w:webHidden/>
          </w:rPr>
          <w:tab/>
        </w:r>
        <w:r w:rsidR="006C6ECA">
          <w:rPr>
            <w:webHidden/>
          </w:rPr>
          <w:fldChar w:fldCharType="begin"/>
        </w:r>
        <w:r w:rsidR="006C6ECA">
          <w:rPr>
            <w:webHidden/>
          </w:rPr>
          <w:instrText xml:space="preserve"> PAGEREF _Toc75965569 \h </w:instrText>
        </w:r>
        <w:r w:rsidR="006C6ECA">
          <w:rPr>
            <w:webHidden/>
          </w:rPr>
        </w:r>
        <w:r w:rsidR="006C6ECA">
          <w:rPr>
            <w:webHidden/>
          </w:rPr>
          <w:fldChar w:fldCharType="separate"/>
        </w:r>
        <w:r w:rsidR="006C6ECA">
          <w:rPr>
            <w:webHidden/>
          </w:rPr>
          <w:t>73</w:t>
        </w:r>
        <w:r w:rsidR="006C6ECA">
          <w:rPr>
            <w:webHidden/>
          </w:rPr>
          <w:fldChar w:fldCharType="end"/>
        </w:r>
      </w:hyperlink>
    </w:p>
    <w:p w14:paraId="4396E280" w14:textId="34F48BE6" w:rsidR="006C6ECA" w:rsidRDefault="00F37A13" w:rsidP="006C6ECA">
      <w:pPr>
        <w:pStyle w:val="TOC2"/>
        <w:rPr>
          <w:rFonts w:asciiTheme="minorHAnsi" w:eastAsiaTheme="minorEastAsia" w:hAnsiTheme="minorHAnsi" w:cstheme="minorBidi"/>
          <w:sz w:val="22"/>
          <w:szCs w:val="22"/>
        </w:rPr>
      </w:pPr>
      <w:hyperlink w:anchor="_Toc75965570" w:history="1">
        <w:r w:rsidR="006C6ECA" w:rsidRPr="000E7EBB">
          <w:rPr>
            <w:rStyle w:val="Hyperlink"/>
          </w:rPr>
          <w:t>Annex 14: UNDP Project Quality Assurance Report</w:t>
        </w:r>
        <w:r w:rsidR="006C6ECA">
          <w:rPr>
            <w:webHidden/>
          </w:rPr>
          <w:tab/>
        </w:r>
        <w:r w:rsidR="006C6ECA">
          <w:rPr>
            <w:webHidden/>
          </w:rPr>
          <w:fldChar w:fldCharType="begin"/>
        </w:r>
        <w:r w:rsidR="006C6ECA">
          <w:rPr>
            <w:webHidden/>
          </w:rPr>
          <w:instrText xml:space="preserve"> PAGEREF _Toc75965570 \h </w:instrText>
        </w:r>
        <w:r w:rsidR="006C6ECA">
          <w:rPr>
            <w:webHidden/>
          </w:rPr>
        </w:r>
        <w:r w:rsidR="006C6ECA">
          <w:rPr>
            <w:webHidden/>
          </w:rPr>
          <w:fldChar w:fldCharType="separate"/>
        </w:r>
        <w:r w:rsidR="006C6ECA">
          <w:rPr>
            <w:webHidden/>
          </w:rPr>
          <w:t>74</w:t>
        </w:r>
        <w:r w:rsidR="006C6ECA">
          <w:rPr>
            <w:webHidden/>
          </w:rPr>
          <w:fldChar w:fldCharType="end"/>
        </w:r>
      </w:hyperlink>
    </w:p>
    <w:p w14:paraId="0E7C2CD5" w14:textId="3E1C697B" w:rsidR="006C6ECA" w:rsidRDefault="00F37A13" w:rsidP="006C6ECA">
      <w:pPr>
        <w:pStyle w:val="TOC2"/>
        <w:rPr>
          <w:rFonts w:asciiTheme="minorHAnsi" w:eastAsiaTheme="minorEastAsia" w:hAnsiTheme="minorHAnsi" w:cstheme="minorBidi"/>
          <w:sz w:val="22"/>
          <w:szCs w:val="22"/>
        </w:rPr>
      </w:pPr>
      <w:hyperlink w:anchor="_Toc75965571" w:history="1">
        <w:r w:rsidR="006C6ECA" w:rsidRPr="000E7EBB">
          <w:rPr>
            <w:rStyle w:val="Hyperlink"/>
          </w:rPr>
          <w:t>Annex 15:  Project Terminal report (End of Project report)</w:t>
        </w:r>
        <w:r w:rsidR="006C6ECA">
          <w:rPr>
            <w:webHidden/>
          </w:rPr>
          <w:tab/>
        </w:r>
        <w:r w:rsidR="006C6ECA">
          <w:rPr>
            <w:webHidden/>
          </w:rPr>
          <w:fldChar w:fldCharType="begin"/>
        </w:r>
        <w:r w:rsidR="006C6ECA">
          <w:rPr>
            <w:webHidden/>
          </w:rPr>
          <w:instrText xml:space="preserve"> PAGEREF _Toc75965571 \h </w:instrText>
        </w:r>
        <w:r w:rsidR="006C6ECA">
          <w:rPr>
            <w:webHidden/>
          </w:rPr>
        </w:r>
        <w:r w:rsidR="006C6ECA">
          <w:rPr>
            <w:webHidden/>
          </w:rPr>
          <w:fldChar w:fldCharType="separate"/>
        </w:r>
        <w:r w:rsidR="006C6ECA">
          <w:rPr>
            <w:webHidden/>
          </w:rPr>
          <w:t>75</w:t>
        </w:r>
        <w:r w:rsidR="006C6ECA">
          <w:rPr>
            <w:webHidden/>
          </w:rPr>
          <w:fldChar w:fldCharType="end"/>
        </w:r>
      </w:hyperlink>
    </w:p>
    <w:p w14:paraId="5D23A029" w14:textId="4CD0A32C" w:rsidR="00AE31A1" w:rsidRPr="004870C7" w:rsidRDefault="00D64EA4" w:rsidP="005D330B">
      <w:pPr>
        <w:spacing w:after="240"/>
        <w:rPr>
          <w:b/>
          <w:bCs/>
          <w:szCs w:val="20"/>
        </w:rPr>
      </w:pPr>
      <w:r w:rsidRPr="004870C7">
        <w:rPr>
          <w:b/>
          <w:bCs/>
          <w:szCs w:val="20"/>
        </w:rPr>
        <w:fldChar w:fldCharType="end"/>
      </w:r>
    </w:p>
    <w:p w14:paraId="6BFEAC99" w14:textId="77777777" w:rsidR="00D92870" w:rsidRPr="004870C7" w:rsidRDefault="00D92870" w:rsidP="00AB5018">
      <w:pPr>
        <w:spacing w:after="240"/>
        <w:rPr>
          <w:b/>
          <w:bCs/>
          <w:i/>
          <w:szCs w:val="20"/>
        </w:rPr>
      </w:pPr>
      <w:bookmarkStart w:id="4" w:name="_Toc535060429"/>
      <w:bookmarkStart w:id="5" w:name="_Toc56699930"/>
    </w:p>
    <w:p w14:paraId="6C8001FE" w14:textId="77777777" w:rsidR="00D92870" w:rsidRPr="004870C7" w:rsidRDefault="00D92870" w:rsidP="00AB5018">
      <w:pPr>
        <w:spacing w:after="240"/>
        <w:rPr>
          <w:b/>
          <w:bCs/>
          <w:i/>
          <w:szCs w:val="20"/>
        </w:rPr>
      </w:pPr>
    </w:p>
    <w:p w14:paraId="00C29913" w14:textId="77777777" w:rsidR="00D92870" w:rsidRPr="004870C7" w:rsidRDefault="00D92870" w:rsidP="00AB5018">
      <w:pPr>
        <w:spacing w:after="240"/>
        <w:rPr>
          <w:b/>
          <w:bCs/>
          <w:i/>
          <w:szCs w:val="20"/>
        </w:rPr>
      </w:pPr>
    </w:p>
    <w:p w14:paraId="297EF575" w14:textId="77777777" w:rsidR="00D92870" w:rsidRPr="004870C7" w:rsidRDefault="00D92870" w:rsidP="00AB5018">
      <w:pPr>
        <w:spacing w:after="240"/>
        <w:rPr>
          <w:b/>
          <w:bCs/>
          <w:i/>
          <w:szCs w:val="20"/>
        </w:rPr>
      </w:pPr>
    </w:p>
    <w:p w14:paraId="0DE96A90" w14:textId="77777777" w:rsidR="00D92870" w:rsidRPr="004870C7" w:rsidRDefault="00D92870" w:rsidP="00AB5018">
      <w:pPr>
        <w:spacing w:after="240"/>
        <w:rPr>
          <w:b/>
          <w:bCs/>
          <w:i/>
          <w:szCs w:val="20"/>
        </w:rPr>
      </w:pPr>
    </w:p>
    <w:p w14:paraId="6549FE0D" w14:textId="77777777" w:rsidR="00D92870" w:rsidRPr="004870C7" w:rsidRDefault="00D92870" w:rsidP="00AB5018">
      <w:pPr>
        <w:spacing w:after="240"/>
        <w:rPr>
          <w:b/>
          <w:bCs/>
          <w:i/>
          <w:szCs w:val="20"/>
        </w:rPr>
      </w:pPr>
    </w:p>
    <w:p w14:paraId="5D9258A6" w14:textId="77777777" w:rsidR="00AB5018" w:rsidRPr="004870C7" w:rsidRDefault="00AB5018" w:rsidP="00270835">
      <w:pPr>
        <w:pStyle w:val="Heading1"/>
        <w:spacing w:before="0" w:after="0" w:line="271" w:lineRule="auto"/>
        <w:jc w:val="left"/>
        <w:rPr>
          <w:rFonts w:ascii="Calibri" w:hAnsi="Calibri"/>
        </w:rPr>
      </w:pPr>
      <w:bookmarkStart w:id="6" w:name="_Toc75965545"/>
      <w:r w:rsidRPr="004870C7">
        <w:rPr>
          <w:rFonts w:ascii="Calibri" w:hAnsi="Calibri"/>
        </w:rPr>
        <w:lastRenderedPageBreak/>
        <w:t>Acronyms and Abbreviations</w:t>
      </w:r>
      <w:bookmarkEnd w:id="4"/>
      <w:bookmarkEnd w:id="5"/>
      <w:bookmarkEnd w:id="6"/>
    </w:p>
    <w:p w14:paraId="46ACADB0" w14:textId="77777777" w:rsidR="00270835" w:rsidRPr="004870C7" w:rsidRDefault="00270835" w:rsidP="00AB5018">
      <w:pPr>
        <w:spacing w:after="120"/>
        <w:rPr>
          <w:iCs/>
          <w:szCs w:val="20"/>
        </w:rPr>
      </w:pPr>
    </w:p>
    <w:p w14:paraId="3FAEBFAB" w14:textId="0CFC5099" w:rsidR="00AB5018" w:rsidRPr="004870C7" w:rsidRDefault="00AB5018" w:rsidP="00AB5018">
      <w:pPr>
        <w:spacing w:after="120"/>
        <w:rPr>
          <w:iCs/>
          <w:szCs w:val="20"/>
        </w:rPr>
      </w:pPr>
      <w:r w:rsidRPr="004870C7">
        <w:rPr>
          <w:iCs/>
          <w:szCs w:val="20"/>
        </w:rPr>
        <w:t>AFOLU</w:t>
      </w:r>
      <w:r w:rsidRPr="004870C7">
        <w:rPr>
          <w:iCs/>
          <w:szCs w:val="20"/>
        </w:rPr>
        <w:tab/>
      </w:r>
      <w:r w:rsidR="000D6D77" w:rsidRPr="004870C7">
        <w:rPr>
          <w:iCs/>
          <w:szCs w:val="20"/>
        </w:rPr>
        <w:t xml:space="preserve">                </w:t>
      </w:r>
      <w:r w:rsidRPr="004870C7">
        <w:rPr>
          <w:iCs/>
          <w:szCs w:val="20"/>
        </w:rPr>
        <w:t>Agriculture, Forestry, and Other Land Use</w:t>
      </w:r>
    </w:p>
    <w:p w14:paraId="2DFBE594" w14:textId="79AA795E" w:rsidR="00AB5018" w:rsidRPr="004870C7" w:rsidRDefault="00AB5018" w:rsidP="00AB5018">
      <w:pPr>
        <w:spacing w:after="120"/>
        <w:rPr>
          <w:iCs/>
          <w:szCs w:val="20"/>
        </w:rPr>
      </w:pPr>
      <w:r w:rsidRPr="004870C7">
        <w:rPr>
          <w:iCs/>
          <w:szCs w:val="20"/>
        </w:rPr>
        <w:t>BUR</w:t>
      </w:r>
      <w:r w:rsidRPr="004870C7">
        <w:rPr>
          <w:iCs/>
          <w:szCs w:val="20"/>
        </w:rPr>
        <w:tab/>
      </w:r>
      <w:r w:rsidRPr="004870C7">
        <w:rPr>
          <w:iCs/>
          <w:szCs w:val="20"/>
        </w:rPr>
        <w:tab/>
        <w:t>Biennial Update Report</w:t>
      </w:r>
    </w:p>
    <w:p w14:paraId="1BFF0C07" w14:textId="1B29F9D7" w:rsidR="000D6D77" w:rsidRPr="004870C7" w:rsidRDefault="000D6D77" w:rsidP="00AB5018">
      <w:pPr>
        <w:spacing w:after="120"/>
        <w:rPr>
          <w:iCs/>
          <w:szCs w:val="20"/>
        </w:rPr>
      </w:pPr>
      <w:r w:rsidRPr="004870C7">
        <w:rPr>
          <w:iCs/>
          <w:szCs w:val="20"/>
        </w:rPr>
        <w:t>BTR                         Biennial Transparency Report</w:t>
      </w:r>
    </w:p>
    <w:p w14:paraId="33A32C2B" w14:textId="77777777" w:rsidR="00AB5018" w:rsidRPr="004870C7" w:rsidRDefault="00AB5018" w:rsidP="00AB5018">
      <w:pPr>
        <w:spacing w:after="120"/>
        <w:rPr>
          <w:iCs/>
          <w:szCs w:val="20"/>
        </w:rPr>
      </w:pPr>
      <w:r w:rsidRPr="004870C7">
        <w:rPr>
          <w:iCs/>
          <w:szCs w:val="20"/>
        </w:rPr>
        <w:t>CBIT</w:t>
      </w:r>
      <w:r w:rsidRPr="004870C7">
        <w:rPr>
          <w:iCs/>
          <w:szCs w:val="20"/>
        </w:rPr>
        <w:tab/>
      </w:r>
      <w:r w:rsidRPr="004870C7">
        <w:rPr>
          <w:iCs/>
          <w:szCs w:val="20"/>
        </w:rPr>
        <w:tab/>
        <w:t xml:space="preserve">Capacity Building Initiative for Transparency </w:t>
      </w:r>
      <w:r w:rsidRPr="004870C7">
        <w:rPr>
          <w:iCs/>
          <w:szCs w:val="20"/>
        </w:rPr>
        <w:tab/>
      </w:r>
    </w:p>
    <w:p w14:paraId="15E23974" w14:textId="77777777" w:rsidR="00AB5018" w:rsidRPr="004870C7" w:rsidRDefault="00AB5018" w:rsidP="00AB5018">
      <w:pPr>
        <w:spacing w:after="120"/>
        <w:rPr>
          <w:iCs/>
          <w:szCs w:val="20"/>
        </w:rPr>
      </w:pPr>
      <w:r w:rsidRPr="004870C7">
        <w:rPr>
          <w:iCs/>
          <w:szCs w:val="20"/>
        </w:rPr>
        <w:t>DCC</w:t>
      </w:r>
      <w:r w:rsidRPr="004870C7">
        <w:rPr>
          <w:iCs/>
          <w:szCs w:val="20"/>
        </w:rPr>
        <w:tab/>
      </w:r>
      <w:r w:rsidRPr="004870C7">
        <w:rPr>
          <w:iCs/>
          <w:szCs w:val="20"/>
        </w:rPr>
        <w:tab/>
        <w:t>Directorate for Climate Change</w:t>
      </w:r>
    </w:p>
    <w:p w14:paraId="22C2C3BA" w14:textId="77777777" w:rsidR="00AB5018" w:rsidRPr="004870C7" w:rsidRDefault="00AB5018" w:rsidP="00AB5018">
      <w:pPr>
        <w:spacing w:after="120"/>
        <w:rPr>
          <w:iCs/>
          <w:szCs w:val="20"/>
        </w:rPr>
      </w:pPr>
      <w:r w:rsidRPr="004870C7">
        <w:rPr>
          <w:iCs/>
          <w:szCs w:val="20"/>
        </w:rPr>
        <w:t>ENPA</w:t>
      </w:r>
      <w:r w:rsidRPr="004870C7">
        <w:rPr>
          <w:iCs/>
          <w:szCs w:val="20"/>
        </w:rPr>
        <w:tab/>
      </w:r>
      <w:r w:rsidRPr="004870C7">
        <w:rPr>
          <w:iCs/>
          <w:szCs w:val="20"/>
        </w:rPr>
        <w:tab/>
        <w:t>Environment and Nature Protection Agency</w:t>
      </w:r>
    </w:p>
    <w:p w14:paraId="24DB6CF8" w14:textId="77777777" w:rsidR="00AB5018" w:rsidRPr="004870C7" w:rsidRDefault="00AB5018" w:rsidP="00AB5018">
      <w:pPr>
        <w:spacing w:after="120"/>
        <w:rPr>
          <w:iCs/>
          <w:szCs w:val="20"/>
        </w:rPr>
      </w:pPr>
      <w:r w:rsidRPr="004870C7">
        <w:rPr>
          <w:iCs/>
          <w:szCs w:val="20"/>
        </w:rPr>
        <w:t>EU</w:t>
      </w:r>
      <w:r w:rsidRPr="004870C7">
        <w:rPr>
          <w:iCs/>
          <w:szCs w:val="20"/>
        </w:rPr>
        <w:tab/>
      </w:r>
      <w:r w:rsidRPr="004870C7">
        <w:rPr>
          <w:iCs/>
          <w:szCs w:val="20"/>
        </w:rPr>
        <w:tab/>
        <w:t>European Union</w:t>
      </w:r>
    </w:p>
    <w:p w14:paraId="10F03AFE" w14:textId="77777777" w:rsidR="00AB5018" w:rsidRPr="004870C7" w:rsidRDefault="00AB5018" w:rsidP="00AB5018">
      <w:pPr>
        <w:spacing w:after="120"/>
        <w:rPr>
          <w:iCs/>
          <w:szCs w:val="20"/>
        </w:rPr>
      </w:pPr>
      <w:r w:rsidRPr="004870C7">
        <w:rPr>
          <w:iCs/>
          <w:szCs w:val="20"/>
        </w:rPr>
        <w:t>ETS</w:t>
      </w:r>
      <w:r w:rsidRPr="004870C7">
        <w:rPr>
          <w:iCs/>
          <w:szCs w:val="20"/>
        </w:rPr>
        <w:tab/>
      </w:r>
      <w:r w:rsidRPr="004870C7">
        <w:rPr>
          <w:iCs/>
          <w:szCs w:val="20"/>
        </w:rPr>
        <w:tab/>
        <w:t>(European Union) Emissions Trading Scheme</w:t>
      </w:r>
    </w:p>
    <w:p w14:paraId="6B13CE07" w14:textId="77777777" w:rsidR="00AB5018" w:rsidRPr="004870C7" w:rsidRDefault="00AB5018" w:rsidP="00AB5018">
      <w:pPr>
        <w:spacing w:after="120"/>
        <w:rPr>
          <w:iCs/>
          <w:szCs w:val="20"/>
        </w:rPr>
      </w:pPr>
      <w:r w:rsidRPr="004870C7">
        <w:rPr>
          <w:iCs/>
          <w:szCs w:val="20"/>
        </w:rPr>
        <w:t>FBUR</w:t>
      </w:r>
      <w:r w:rsidRPr="004870C7">
        <w:rPr>
          <w:iCs/>
          <w:szCs w:val="20"/>
        </w:rPr>
        <w:tab/>
      </w:r>
      <w:r w:rsidRPr="004870C7">
        <w:rPr>
          <w:iCs/>
          <w:szCs w:val="20"/>
        </w:rPr>
        <w:tab/>
        <w:t>First Biennial Update Report</w:t>
      </w:r>
    </w:p>
    <w:p w14:paraId="50C9B481" w14:textId="598F770E" w:rsidR="00AB5018" w:rsidRPr="004870C7" w:rsidRDefault="00AB5018" w:rsidP="00AB5018">
      <w:pPr>
        <w:spacing w:after="120"/>
        <w:rPr>
          <w:iCs/>
          <w:szCs w:val="20"/>
        </w:rPr>
      </w:pPr>
      <w:r w:rsidRPr="004870C7">
        <w:rPr>
          <w:iCs/>
          <w:szCs w:val="20"/>
        </w:rPr>
        <w:t>FSP</w:t>
      </w:r>
      <w:r w:rsidRPr="004870C7">
        <w:rPr>
          <w:iCs/>
          <w:szCs w:val="20"/>
        </w:rPr>
        <w:tab/>
        <w:t xml:space="preserve">                Full Sized Project</w:t>
      </w:r>
    </w:p>
    <w:p w14:paraId="692185F5" w14:textId="77777777" w:rsidR="00AB5018" w:rsidRPr="004870C7" w:rsidRDefault="00AB5018" w:rsidP="00AB5018">
      <w:pPr>
        <w:spacing w:after="120"/>
        <w:rPr>
          <w:iCs/>
          <w:szCs w:val="20"/>
        </w:rPr>
      </w:pPr>
      <w:r w:rsidRPr="004870C7">
        <w:rPr>
          <w:iCs/>
          <w:szCs w:val="20"/>
        </w:rPr>
        <w:t>GCF</w:t>
      </w:r>
      <w:r w:rsidRPr="004870C7">
        <w:rPr>
          <w:iCs/>
          <w:szCs w:val="20"/>
        </w:rPr>
        <w:tab/>
      </w:r>
      <w:r w:rsidRPr="004870C7">
        <w:rPr>
          <w:iCs/>
          <w:szCs w:val="20"/>
        </w:rPr>
        <w:tab/>
        <w:t>Green Climate Fund</w:t>
      </w:r>
    </w:p>
    <w:p w14:paraId="461D0369" w14:textId="1781F856" w:rsidR="00AB5018" w:rsidRPr="004870C7" w:rsidRDefault="00AB5018" w:rsidP="00AB5018">
      <w:pPr>
        <w:spacing w:after="120"/>
        <w:rPr>
          <w:iCs/>
          <w:szCs w:val="20"/>
        </w:rPr>
      </w:pPr>
      <w:r w:rsidRPr="004870C7">
        <w:rPr>
          <w:iCs/>
          <w:szCs w:val="20"/>
        </w:rPr>
        <w:t>GEF</w:t>
      </w:r>
      <w:r w:rsidRPr="004870C7">
        <w:rPr>
          <w:iCs/>
          <w:szCs w:val="20"/>
        </w:rPr>
        <w:tab/>
      </w:r>
      <w:r w:rsidRPr="004870C7">
        <w:rPr>
          <w:iCs/>
          <w:szCs w:val="20"/>
        </w:rPr>
        <w:tab/>
        <w:t>Global Environmental Fund</w:t>
      </w:r>
    </w:p>
    <w:p w14:paraId="7020BBE7" w14:textId="11438171" w:rsidR="00AB5018" w:rsidRPr="004870C7" w:rsidRDefault="00AB5018" w:rsidP="00AB5018">
      <w:pPr>
        <w:spacing w:after="120"/>
        <w:rPr>
          <w:iCs/>
          <w:szCs w:val="20"/>
        </w:rPr>
      </w:pPr>
      <w:r w:rsidRPr="004870C7">
        <w:rPr>
          <w:iCs/>
          <w:szCs w:val="20"/>
        </w:rPr>
        <w:t>GEFSEC</w:t>
      </w:r>
      <w:r w:rsidRPr="004870C7">
        <w:rPr>
          <w:iCs/>
          <w:szCs w:val="20"/>
        </w:rPr>
        <w:tab/>
        <w:t xml:space="preserve">                Global Environment Facility Secretariat</w:t>
      </w:r>
    </w:p>
    <w:p w14:paraId="6218B333" w14:textId="698E6853" w:rsidR="00AB5018" w:rsidRPr="004870C7" w:rsidRDefault="00AB5018" w:rsidP="00AB5018">
      <w:pPr>
        <w:spacing w:after="120"/>
        <w:rPr>
          <w:iCs/>
          <w:szCs w:val="20"/>
        </w:rPr>
      </w:pPr>
      <w:r w:rsidRPr="004870C7">
        <w:rPr>
          <w:iCs/>
          <w:szCs w:val="20"/>
        </w:rPr>
        <w:t>GHG</w:t>
      </w:r>
      <w:r w:rsidRPr="004870C7">
        <w:rPr>
          <w:iCs/>
          <w:szCs w:val="20"/>
        </w:rPr>
        <w:tab/>
      </w:r>
      <w:r w:rsidRPr="004870C7">
        <w:rPr>
          <w:iCs/>
          <w:szCs w:val="20"/>
        </w:rPr>
        <w:tab/>
        <w:t>Greenhouse Gas</w:t>
      </w:r>
    </w:p>
    <w:p w14:paraId="174528FF" w14:textId="2A26F20A" w:rsidR="001E1220" w:rsidRPr="004870C7" w:rsidRDefault="001E1220" w:rsidP="00AB5018">
      <w:pPr>
        <w:spacing w:after="120"/>
        <w:rPr>
          <w:iCs/>
          <w:szCs w:val="20"/>
        </w:rPr>
      </w:pPr>
      <w:r w:rsidRPr="004870C7">
        <w:rPr>
          <w:iCs/>
          <w:szCs w:val="20"/>
        </w:rPr>
        <w:t>GWP</w:t>
      </w:r>
      <w:r w:rsidRPr="004870C7">
        <w:rPr>
          <w:iCs/>
          <w:szCs w:val="20"/>
        </w:rPr>
        <w:tab/>
      </w:r>
      <w:r w:rsidRPr="004870C7">
        <w:rPr>
          <w:iCs/>
          <w:szCs w:val="20"/>
        </w:rPr>
        <w:tab/>
        <w:t>Global Worming Potential</w:t>
      </w:r>
    </w:p>
    <w:p w14:paraId="689FA67C" w14:textId="77777777" w:rsidR="00AB5018" w:rsidRPr="004870C7" w:rsidRDefault="00AB5018" w:rsidP="00AB5018">
      <w:pPr>
        <w:spacing w:after="120"/>
        <w:rPr>
          <w:iCs/>
          <w:szCs w:val="20"/>
        </w:rPr>
      </w:pPr>
      <w:r w:rsidRPr="004870C7">
        <w:rPr>
          <w:iCs/>
          <w:szCs w:val="20"/>
        </w:rPr>
        <w:t>IHMS</w:t>
      </w:r>
      <w:r w:rsidRPr="004870C7">
        <w:rPr>
          <w:iCs/>
          <w:szCs w:val="20"/>
        </w:rPr>
        <w:tab/>
      </w:r>
      <w:r w:rsidRPr="004870C7">
        <w:rPr>
          <w:iCs/>
          <w:szCs w:val="20"/>
        </w:rPr>
        <w:tab/>
        <w:t xml:space="preserve">Institute for Hydrometeorology and Seismology </w:t>
      </w:r>
    </w:p>
    <w:p w14:paraId="4FC2BFA8" w14:textId="77777777" w:rsidR="00AB5018" w:rsidRPr="004870C7" w:rsidRDefault="00AB5018" w:rsidP="00AB5018">
      <w:pPr>
        <w:spacing w:after="120"/>
        <w:rPr>
          <w:iCs/>
          <w:szCs w:val="20"/>
        </w:rPr>
      </w:pPr>
      <w:r w:rsidRPr="004870C7">
        <w:rPr>
          <w:iCs/>
          <w:szCs w:val="20"/>
        </w:rPr>
        <w:t>INC</w:t>
      </w:r>
      <w:r w:rsidRPr="004870C7">
        <w:rPr>
          <w:iCs/>
          <w:szCs w:val="20"/>
        </w:rPr>
        <w:tab/>
      </w:r>
      <w:r w:rsidRPr="004870C7">
        <w:rPr>
          <w:iCs/>
          <w:szCs w:val="20"/>
        </w:rPr>
        <w:tab/>
        <w:t>Initial National Communication</w:t>
      </w:r>
    </w:p>
    <w:p w14:paraId="7D3F7D59" w14:textId="77777777" w:rsidR="00AB5018" w:rsidRPr="004870C7" w:rsidRDefault="00AB5018" w:rsidP="00AB5018">
      <w:pPr>
        <w:spacing w:after="120"/>
        <w:rPr>
          <w:iCs/>
          <w:szCs w:val="20"/>
        </w:rPr>
      </w:pPr>
      <w:r w:rsidRPr="004870C7">
        <w:rPr>
          <w:iCs/>
          <w:szCs w:val="20"/>
        </w:rPr>
        <w:t>INDC</w:t>
      </w:r>
      <w:r w:rsidRPr="004870C7">
        <w:rPr>
          <w:iCs/>
          <w:szCs w:val="20"/>
        </w:rPr>
        <w:tab/>
      </w:r>
      <w:r w:rsidRPr="004870C7">
        <w:rPr>
          <w:iCs/>
          <w:szCs w:val="20"/>
        </w:rPr>
        <w:tab/>
        <w:t xml:space="preserve">Intended Nationally Determined Contribution </w:t>
      </w:r>
    </w:p>
    <w:p w14:paraId="07B8C010" w14:textId="77777777" w:rsidR="00AB5018" w:rsidRPr="004870C7" w:rsidRDefault="00AB5018" w:rsidP="00AB5018">
      <w:pPr>
        <w:spacing w:after="120"/>
        <w:rPr>
          <w:iCs/>
          <w:szCs w:val="20"/>
        </w:rPr>
      </w:pPr>
      <w:r w:rsidRPr="004870C7">
        <w:rPr>
          <w:iCs/>
          <w:szCs w:val="20"/>
        </w:rPr>
        <w:t>IPCC</w:t>
      </w:r>
      <w:r w:rsidRPr="004870C7">
        <w:rPr>
          <w:iCs/>
          <w:szCs w:val="20"/>
        </w:rPr>
        <w:tab/>
      </w:r>
      <w:r w:rsidRPr="004870C7">
        <w:rPr>
          <w:iCs/>
          <w:szCs w:val="20"/>
        </w:rPr>
        <w:tab/>
        <w:t>Intergovernmental Panel on Climate Change</w:t>
      </w:r>
    </w:p>
    <w:p w14:paraId="55ACDBAF" w14:textId="77777777" w:rsidR="00AB5018" w:rsidRPr="004870C7" w:rsidRDefault="00AB5018" w:rsidP="00AB5018">
      <w:pPr>
        <w:spacing w:after="120"/>
        <w:rPr>
          <w:iCs/>
          <w:szCs w:val="20"/>
        </w:rPr>
      </w:pPr>
      <w:r w:rsidRPr="004870C7">
        <w:rPr>
          <w:iCs/>
          <w:szCs w:val="20"/>
        </w:rPr>
        <w:t>IPH</w:t>
      </w:r>
      <w:r w:rsidRPr="004870C7">
        <w:rPr>
          <w:iCs/>
          <w:szCs w:val="20"/>
        </w:rPr>
        <w:tab/>
      </w:r>
      <w:r w:rsidRPr="004870C7">
        <w:rPr>
          <w:iCs/>
          <w:szCs w:val="20"/>
        </w:rPr>
        <w:tab/>
        <w:t>Institute for Public Health</w:t>
      </w:r>
    </w:p>
    <w:p w14:paraId="6374B96A" w14:textId="77777777" w:rsidR="00AB5018" w:rsidRPr="004870C7" w:rsidRDefault="00AB5018" w:rsidP="00AB5018">
      <w:pPr>
        <w:spacing w:after="120"/>
        <w:rPr>
          <w:iCs/>
          <w:szCs w:val="20"/>
        </w:rPr>
      </w:pPr>
      <w:r w:rsidRPr="004870C7">
        <w:rPr>
          <w:iCs/>
          <w:szCs w:val="20"/>
        </w:rPr>
        <w:t>LCDS</w:t>
      </w:r>
      <w:r w:rsidRPr="004870C7">
        <w:rPr>
          <w:iCs/>
          <w:szCs w:val="20"/>
        </w:rPr>
        <w:tab/>
      </w:r>
      <w:r w:rsidRPr="004870C7">
        <w:rPr>
          <w:iCs/>
          <w:szCs w:val="20"/>
        </w:rPr>
        <w:tab/>
        <w:t>Low Carbon Development Strategy</w:t>
      </w:r>
    </w:p>
    <w:p w14:paraId="0FFA067B" w14:textId="77777777" w:rsidR="00AB5018" w:rsidRPr="004870C7" w:rsidRDefault="00AB5018" w:rsidP="00AB5018">
      <w:pPr>
        <w:spacing w:after="120"/>
        <w:rPr>
          <w:iCs/>
          <w:szCs w:val="20"/>
        </w:rPr>
      </w:pPr>
      <w:r w:rsidRPr="004870C7">
        <w:rPr>
          <w:iCs/>
          <w:szCs w:val="20"/>
        </w:rPr>
        <w:t>MARD</w:t>
      </w:r>
      <w:r w:rsidRPr="004870C7">
        <w:rPr>
          <w:iCs/>
          <w:szCs w:val="20"/>
        </w:rPr>
        <w:tab/>
      </w:r>
      <w:r w:rsidRPr="004870C7">
        <w:rPr>
          <w:iCs/>
          <w:szCs w:val="20"/>
        </w:rPr>
        <w:tab/>
        <w:t>Ministry of Agriculture and Rural Development</w:t>
      </w:r>
    </w:p>
    <w:p w14:paraId="05D7508A" w14:textId="77777777" w:rsidR="00AB5018" w:rsidRPr="004870C7" w:rsidRDefault="00AB5018" w:rsidP="00AB5018">
      <w:pPr>
        <w:spacing w:after="120"/>
        <w:rPr>
          <w:iCs/>
          <w:szCs w:val="20"/>
        </w:rPr>
      </w:pPr>
      <w:r w:rsidRPr="004870C7">
        <w:rPr>
          <w:iCs/>
          <w:szCs w:val="20"/>
        </w:rPr>
        <w:t>MMR</w:t>
      </w:r>
      <w:r w:rsidRPr="004870C7">
        <w:rPr>
          <w:iCs/>
          <w:szCs w:val="20"/>
        </w:rPr>
        <w:tab/>
      </w:r>
      <w:r w:rsidRPr="004870C7">
        <w:rPr>
          <w:iCs/>
          <w:szCs w:val="20"/>
        </w:rPr>
        <w:tab/>
        <w:t>(European Union) Monitoring Mechanism Regulation</w:t>
      </w:r>
    </w:p>
    <w:p w14:paraId="303965EC" w14:textId="77777777" w:rsidR="00AB5018" w:rsidRPr="004870C7" w:rsidRDefault="00AB5018" w:rsidP="00AB5018">
      <w:pPr>
        <w:spacing w:after="120"/>
        <w:rPr>
          <w:iCs/>
          <w:szCs w:val="20"/>
        </w:rPr>
      </w:pPr>
      <w:r w:rsidRPr="004870C7">
        <w:rPr>
          <w:iCs/>
          <w:szCs w:val="20"/>
        </w:rPr>
        <w:t>MONSTAT</w:t>
      </w:r>
      <w:r w:rsidRPr="004870C7">
        <w:rPr>
          <w:iCs/>
          <w:szCs w:val="20"/>
        </w:rPr>
        <w:tab/>
        <w:t>State Statistical Office</w:t>
      </w:r>
    </w:p>
    <w:p w14:paraId="2507D385" w14:textId="77777777" w:rsidR="00AB5018" w:rsidRPr="004870C7" w:rsidRDefault="00AB5018" w:rsidP="00AB5018">
      <w:pPr>
        <w:spacing w:after="120"/>
        <w:rPr>
          <w:iCs/>
          <w:szCs w:val="20"/>
        </w:rPr>
      </w:pPr>
      <w:r w:rsidRPr="004870C7">
        <w:rPr>
          <w:iCs/>
          <w:szCs w:val="20"/>
        </w:rPr>
        <w:t>MPGs</w:t>
      </w:r>
      <w:r w:rsidRPr="004870C7">
        <w:rPr>
          <w:iCs/>
          <w:szCs w:val="20"/>
        </w:rPr>
        <w:tab/>
      </w:r>
      <w:r w:rsidRPr="004870C7">
        <w:rPr>
          <w:iCs/>
          <w:szCs w:val="20"/>
        </w:rPr>
        <w:tab/>
        <w:t>Methods, Procedures and Guidelines</w:t>
      </w:r>
    </w:p>
    <w:p w14:paraId="384A656A" w14:textId="77777777" w:rsidR="00AB5018" w:rsidRPr="004870C7" w:rsidRDefault="00AB5018" w:rsidP="00AB5018">
      <w:pPr>
        <w:spacing w:after="120"/>
        <w:rPr>
          <w:iCs/>
          <w:szCs w:val="20"/>
        </w:rPr>
      </w:pPr>
      <w:r w:rsidRPr="004870C7">
        <w:rPr>
          <w:iCs/>
          <w:szCs w:val="20"/>
        </w:rPr>
        <w:t>MRV</w:t>
      </w:r>
      <w:r w:rsidRPr="004870C7">
        <w:rPr>
          <w:iCs/>
          <w:szCs w:val="20"/>
        </w:rPr>
        <w:tab/>
      </w:r>
      <w:r w:rsidRPr="004870C7">
        <w:rPr>
          <w:iCs/>
          <w:szCs w:val="20"/>
        </w:rPr>
        <w:tab/>
        <w:t>Measurement, Reporting, and Verification</w:t>
      </w:r>
    </w:p>
    <w:p w14:paraId="19217405" w14:textId="5C03876D" w:rsidR="00AB5018" w:rsidRPr="004870C7" w:rsidRDefault="00AB5018" w:rsidP="00AB5018">
      <w:pPr>
        <w:spacing w:after="120"/>
        <w:rPr>
          <w:iCs/>
          <w:szCs w:val="20"/>
        </w:rPr>
      </w:pPr>
      <w:r w:rsidRPr="004870C7">
        <w:rPr>
          <w:iCs/>
          <w:szCs w:val="20"/>
        </w:rPr>
        <w:t>MSDT</w:t>
      </w:r>
      <w:r w:rsidRPr="004870C7">
        <w:rPr>
          <w:iCs/>
          <w:szCs w:val="20"/>
        </w:rPr>
        <w:tab/>
      </w:r>
      <w:r w:rsidRPr="004870C7">
        <w:rPr>
          <w:iCs/>
          <w:szCs w:val="20"/>
        </w:rPr>
        <w:tab/>
        <w:t xml:space="preserve">Ministry of Sustainable Development and Tourism </w:t>
      </w:r>
    </w:p>
    <w:p w14:paraId="0E6F56EA" w14:textId="7275A3DB" w:rsidR="00AB5018" w:rsidRPr="004870C7" w:rsidRDefault="00AB5018" w:rsidP="00AB5018">
      <w:pPr>
        <w:spacing w:after="120"/>
        <w:rPr>
          <w:iCs/>
          <w:szCs w:val="20"/>
        </w:rPr>
      </w:pPr>
      <w:r w:rsidRPr="004870C7">
        <w:rPr>
          <w:iCs/>
          <w:szCs w:val="20"/>
        </w:rPr>
        <w:t>MSP</w:t>
      </w:r>
      <w:r w:rsidRPr="004870C7">
        <w:rPr>
          <w:iCs/>
          <w:szCs w:val="20"/>
        </w:rPr>
        <w:tab/>
        <w:t xml:space="preserve">                Medium Sized Project</w:t>
      </w:r>
    </w:p>
    <w:p w14:paraId="336C957F" w14:textId="77777777" w:rsidR="00AB5018" w:rsidRPr="004870C7" w:rsidRDefault="00AB5018" w:rsidP="00AB5018">
      <w:pPr>
        <w:spacing w:after="120"/>
        <w:rPr>
          <w:iCs/>
          <w:szCs w:val="20"/>
        </w:rPr>
      </w:pPr>
      <w:r w:rsidRPr="004870C7">
        <w:rPr>
          <w:iCs/>
          <w:szCs w:val="20"/>
        </w:rPr>
        <w:t>NAP</w:t>
      </w:r>
      <w:r w:rsidRPr="004870C7">
        <w:rPr>
          <w:iCs/>
          <w:szCs w:val="20"/>
        </w:rPr>
        <w:tab/>
      </w:r>
      <w:r w:rsidRPr="004870C7">
        <w:rPr>
          <w:iCs/>
          <w:szCs w:val="20"/>
        </w:rPr>
        <w:tab/>
        <w:t>National Adaptation Plan</w:t>
      </w:r>
    </w:p>
    <w:p w14:paraId="67AFED05" w14:textId="77777777" w:rsidR="00AB5018" w:rsidRPr="004870C7" w:rsidRDefault="00AB5018" w:rsidP="00AB5018">
      <w:pPr>
        <w:spacing w:after="120"/>
        <w:rPr>
          <w:iCs/>
          <w:szCs w:val="20"/>
        </w:rPr>
      </w:pPr>
      <w:r w:rsidRPr="004870C7">
        <w:rPr>
          <w:iCs/>
          <w:szCs w:val="20"/>
        </w:rPr>
        <w:t>NCCS</w:t>
      </w:r>
      <w:r w:rsidRPr="004870C7">
        <w:rPr>
          <w:iCs/>
          <w:szCs w:val="20"/>
        </w:rPr>
        <w:tab/>
      </w:r>
      <w:r w:rsidRPr="004870C7">
        <w:rPr>
          <w:iCs/>
          <w:szCs w:val="20"/>
        </w:rPr>
        <w:tab/>
        <w:t>National Climate Change Strategy</w:t>
      </w:r>
    </w:p>
    <w:p w14:paraId="6324C862" w14:textId="156CD516" w:rsidR="00AB5018" w:rsidRPr="004870C7" w:rsidRDefault="00AB5018" w:rsidP="001825A9">
      <w:pPr>
        <w:spacing w:after="120"/>
        <w:ind w:left="1530" w:hanging="1530"/>
        <w:jc w:val="left"/>
        <w:rPr>
          <w:iCs/>
          <w:szCs w:val="20"/>
        </w:rPr>
      </w:pPr>
      <w:r w:rsidRPr="004870C7">
        <w:rPr>
          <w:iCs/>
          <w:szCs w:val="20"/>
        </w:rPr>
        <w:t>NCSD</w:t>
      </w:r>
      <w:r w:rsidR="001825A9" w:rsidRPr="004870C7">
        <w:rPr>
          <w:iCs/>
          <w:szCs w:val="20"/>
        </w:rPr>
        <w:t xml:space="preserve">                      </w:t>
      </w:r>
      <w:r w:rsidRPr="004870C7">
        <w:rPr>
          <w:iCs/>
          <w:szCs w:val="20"/>
        </w:rPr>
        <w:t>National Council for Sustainable Development, Climate Change and Integrated Coastal Zone Management</w:t>
      </w:r>
    </w:p>
    <w:p w14:paraId="15284334" w14:textId="77777777" w:rsidR="00AB5018" w:rsidRPr="004870C7" w:rsidRDefault="00AB5018" w:rsidP="00AB5018">
      <w:pPr>
        <w:spacing w:after="120"/>
        <w:rPr>
          <w:iCs/>
          <w:szCs w:val="20"/>
        </w:rPr>
      </w:pPr>
      <w:r w:rsidRPr="004870C7">
        <w:rPr>
          <w:iCs/>
          <w:szCs w:val="20"/>
        </w:rPr>
        <w:t>NDCs</w:t>
      </w:r>
      <w:r w:rsidRPr="004870C7">
        <w:rPr>
          <w:iCs/>
          <w:szCs w:val="20"/>
        </w:rPr>
        <w:tab/>
      </w:r>
      <w:r w:rsidRPr="004870C7">
        <w:rPr>
          <w:iCs/>
          <w:szCs w:val="20"/>
        </w:rPr>
        <w:tab/>
        <w:t>Nationally Determined Contributions</w:t>
      </w:r>
    </w:p>
    <w:p w14:paraId="44A6CF13" w14:textId="5B3A8A74" w:rsidR="00AB5018" w:rsidRPr="004870C7" w:rsidRDefault="00AB5018" w:rsidP="00AB5018">
      <w:pPr>
        <w:spacing w:after="120"/>
        <w:rPr>
          <w:iCs/>
          <w:szCs w:val="20"/>
        </w:rPr>
      </w:pPr>
      <w:r w:rsidRPr="004870C7">
        <w:rPr>
          <w:iCs/>
          <w:szCs w:val="20"/>
        </w:rPr>
        <w:t>NGO</w:t>
      </w:r>
      <w:r w:rsidRPr="004870C7">
        <w:rPr>
          <w:iCs/>
          <w:szCs w:val="20"/>
        </w:rPr>
        <w:tab/>
      </w:r>
      <w:r w:rsidRPr="004870C7">
        <w:rPr>
          <w:iCs/>
          <w:szCs w:val="20"/>
        </w:rPr>
        <w:tab/>
        <w:t>Non-Governmental Organization</w:t>
      </w:r>
    </w:p>
    <w:p w14:paraId="6FDE7C66" w14:textId="1A3C910B" w:rsidR="00AB5018" w:rsidRPr="004870C7" w:rsidRDefault="00AB5018" w:rsidP="00AB5018">
      <w:pPr>
        <w:spacing w:after="120"/>
        <w:rPr>
          <w:iCs/>
          <w:szCs w:val="20"/>
        </w:rPr>
      </w:pPr>
      <w:r w:rsidRPr="004870C7">
        <w:rPr>
          <w:iCs/>
          <w:szCs w:val="20"/>
        </w:rPr>
        <w:lastRenderedPageBreak/>
        <w:t>PIF</w:t>
      </w:r>
      <w:r w:rsidRPr="004870C7">
        <w:rPr>
          <w:iCs/>
          <w:szCs w:val="20"/>
        </w:rPr>
        <w:tab/>
        <w:t xml:space="preserve">                Project Identification Form</w:t>
      </w:r>
    </w:p>
    <w:p w14:paraId="4E62D3AF" w14:textId="08167F58" w:rsidR="00AB5018" w:rsidRPr="004870C7" w:rsidRDefault="00AB5018" w:rsidP="00AB5018">
      <w:pPr>
        <w:spacing w:after="120"/>
        <w:rPr>
          <w:iCs/>
          <w:szCs w:val="20"/>
        </w:rPr>
      </w:pPr>
      <w:r w:rsidRPr="004870C7">
        <w:rPr>
          <w:iCs/>
          <w:szCs w:val="20"/>
        </w:rPr>
        <w:t>PIR</w:t>
      </w:r>
      <w:r w:rsidRPr="004870C7">
        <w:rPr>
          <w:iCs/>
          <w:szCs w:val="20"/>
        </w:rPr>
        <w:tab/>
      </w:r>
      <w:r w:rsidRPr="004870C7">
        <w:rPr>
          <w:iCs/>
          <w:szCs w:val="20"/>
        </w:rPr>
        <w:tab/>
        <w:t>Project Implementation Report</w:t>
      </w:r>
    </w:p>
    <w:p w14:paraId="0FF2ED57" w14:textId="0B37674A" w:rsidR="00AB5018" w:rsidRPr="004870C7" w:rsidRDefault="00AB5018" w:rsidP="00AB5018">
      <w:pPr>
        <w:spacing w:after="120"/>
        <w:rPr>
          <w:iCs/>
          <w:szCs w:val="20"/>
        </w:rPr>
      </w:pPr>
      <w:r w:rsidRPr="004870C7">
        <w:rPr>
          <w:iCs/>
          <w:szCs w:val="20"/>
        </w:rPr>
        <w:t>POPP</w:t>
      </w:r>
      <w:r w:rsidRPr="004870C7">
        <w:rPr>
          <w:iCs/>
          <w:szCs w:val="20"/>
        </w:rPr>
        <w:tab/>
        <w:t xml:space="preserve">               </w:t>
      </w:r>
      <w:r w:rsidR="001825A9" w:rsidRPr="004870C7">
        <w:rPr>
          <w:iCs/>
          <w:szCs w:val="20"/>
        </w:rPr>
        <w:t xml:space="preserve"> </w:t>
      </w:r>
      <w:r w:rsidRPr="004870C7">
        <w:rPr>
          <w:iCs/>
          <w:szCs w:val="20"/>
        </w:rPr>
        <w:t>Programme and Operations Policies and Procedures</w:t>
      </w:r>
    </w:p>
    <w:p w14:paraId="622002D9" w14:textId="6782417F" w:rsidR="00AB5018" w:rsidRPr="004870C7" w:rsidRDefault="00AB5018" w:rsidP="00AB5018">
      <w:pPr>
        <w:spacing w:after="120"/>
        <w:rPr>
          <w:iCs/>
          <w:szCs w:val="20"/>
        </w:rPr>
      </w:pPr>
      <w:r w:rsidRPr="004870C7">
        <w:rPr>
          <w:iCs/>
          <w:szCs w:val="20"/>
        </w:rPr>
        <w:t>PPG</w:t>
      </w:r>
      <w:r w:rsidRPr="004870C7">
        <w:rPr>
          <w:iCs/>
          <w:szCs w:val="20"/>
        </w:rPr>
        <w:tab/>
        <w:t xml:space="preserve">               </w:t>
      </w:r>
      <w:r w:rsidR="001825A9" w:rsidRPr="004870C7">
        <w:rPr>
          <w:iCs/>
          <w:szCs w:val="20"/>
        </w:rPr>
        <w:t xml:space="preserve"> </w:t>
      </w:r>
      <w:r w:rsidRPr="004870C7">
        <w:rPr>
          <w:iCs/>
          <w:szCs w:val="20"/>
        </w:rPr>
        <w:t>Project Preparation Grant</w:t>
      </w:r>
    </w:p>
    <w:p w14:paraId="405FBADD" w14:textId="77777777" w:rsidR="00AB5018" w:rsidRPr="004870C7" w:rsidRDefault="00AB5018" w:rsidP="00AB5018">
      <w:pPr>
        <w:spacing w:after="120"/>
        <w:rPr>
          <w:iCs/>
          <w:szCs w:val="20"/>
        </w:rPr>
      </w:pPr>
      <w:r w:rsidRPr="004870C7">
        <w:rPr>
          <w:iCs/>
          <w:szCs w:val="20"/>
        </w:rPr>
        <w:t>QA/QC</w:t>
      </w:r>
      <w:r w:rsidRPr="004870C7">
        <w:rPr>
          <w:iCs/>
          <w:szCs w:val="20"/>
        </w:rPr>
        <w:tab/>
      </w:r>
      <w:r w:rsidRPr="004870C7">
        <w:rPr>
          <w:iCs/>
          <w:szCs w:val="20"/>
        </w:rPr>
        <w:tab/>
        <w:t>Quality Assurance, Quality Control</w:t>
      </w:r>
    </w:p>
    <w:p w14:paraId="33908568" w14:textId="77777777" w:rsidR="00AB5018" w:rsidRPr="004870C7" w:rsidRDefault="00AB5018" w:rsidP="00AB5018">
      <w:pPr>
        <w:spacing w:after="120"/>
        <w:rPr>
          <w:iCs/>
          <w:szCs w:val="20"/>
        </w:rPr>
      </w:pPr>
      <w:r w:rsidRPr="004870C7">
        <w:rPr>
          <w:iCs/>
          <w:szCs w:val="20"/>
        </w:rPr>
        <w:t>SBUR</w:t>
      </w:r>
      <w:r w:rsidRPr="004870C7">
        <w:rPr>
          <w:iCs/>
          <w:szCs w:val="20"/>
        </w:rPr>
        <w:tab/>
      </w:r>
      <w:r w:rsidRPr="004870C7">
        <w:rPr>
          <w:iCs/>
          <w:szCs w:val="20"/>
        </w:rPr>
        <w:tab/>
        <w:t>Second Biennial Update Report</w:t>
      </w:r>
    </w:p>
    <w:p w14:paraId="4A5AA772" w14:textId="3E04BE3D" w:rsidR="00AB5018" w:rsidRPr="004870C7" w:rsidRDefault="00AB5018" w:rsidP="00AB5018">
      <w:pPr>
        <w:spacing w:after="120"/>
        <w:rPr>
          <w:iCs/>
          <w:szCs w:val="20"/>
        </w:rPr>
      </w:pPr>
      <w:r w:rsidRPr="004870C7">
        <w:rPr>
          <w:iCs/>
          <w:szCs w:val="20"/>
        </w:rPr>
        <w:t>SDGs</w:t>
      </w:r>
      <w:r w:rsidRPr="004870C7">
        <w:rPr>
          <w:iCs/>
          <w:szCs w:val="20"/>
        </w:rPr>
        <w:tab/>
      </w:r>
      <w:r w:rsidRPr="004870C7">
        <w:rPr>
          <w:iCs/>
          <w:szCs w:val="20"/>
        </w:rPr>
        <w:tab/>
        <w:t>Sustainable Development Goals</w:t>
      </w:r>
    </w:p>
    <w:p w14:paraId="57030DE3" w14:textId="1B76693C" w:rsidR="00AB5018" w:rsidRPr="004870C7" w:rsidRDefault="00AB5018" w:rsidP="00AB5018">
      <w:pPr>
        <w:spacing w:after="120"/>
        <w:rPr>
          <w:iCs/>
          <w:szCs w:val="20"/>
        </w:rPr>
      </w:pPr>
      <w:r w:rsidRPr="004870C7">
        <w:rPr>
          <w:iCs/>
          <w:szCs w:val="20"/>
        </w:rPr>
        <w:t>STAP</w:t>
      </w:r>
      <w:r w:rsidRPr="004870C7">
        <w:rPr>
          <w:iCs/>
          <w:szCs w:val="20"/>
        </w:rPr>
        <w:tab/>
        <w:t xml:space="preserve">                GEF Scientific Technical Advisory Panel</w:t>
      </w:r>
    </w:p>
    <w:p w14:paraId="12D690E4" w14:textId="77777777" w:rsidR="00AB5018" w:rsidRPr="004870C7" w:rsidRDefault="00AB5018" w:rsidP="00AB5018">
      <w:pPr>
        <w:spacing w:after="120"/>
        <w:rPr>
          <w:iCs/>
          <w:szCs w:val="20"/>
        </w:rPr>
      </w:pPr>
      <w:r w:rsidRPr="004870C7">
        <w:rPr>
          <w:iCs/>
          <w:szCs w:val="20"/>
        </w:rPr>
        <w:t>TNC</w:t>
      </w:r>
      <w:r w:rsidRPr="004870C7">
        <w:rPr>
          <w:iCs/>
          <w:szCs w:val="20"/>
        </w:rPr>
        <w:tab/>
      </w:r>
      <w:r w:rsidRPr="004870C7">
        <w:rPr>
          <w:iCs/>
          <w:szCs w:val="20"/>
        </w:rPr>
        <w:tab/>
        <w:t>Third National Communication</w:t>
      </w:r>
    </w:p>
    <w:p w14:paraId="4C813173" w14:textId="77777777" w:rsidR="00AB5018" w:rsidRPr="004870C7" w:rsidRDefault="00AB5018" w:rsidP="00AB5018">
      <w:pPr>
        <w:spacing w:after="120"/>
        <w:rPr>
          <w:iCs/>
          <w:szCs w:val="20"/>
        </w:rPr>
      </w:pPr>
      <w:r w:rsidRPr="004870C7">
        <w:rPr>
          <w:iCs/>
          <w:szCs w:val="20"/>
        </w:rPr>
        <w:t>UNDP</w:t>
      </w:r>
      <w:r w:rsidRPr="004870C7">
        <w:rPr>
          <w:iCs/>
          <w:szCs w:val="20"/>
        </w:rPr>
        <w:tab/>
      </w:r>
      <w:r w:rsidRPr="004870C7">
        <w:rPr>
          <w:iCs/>
          <w:szCs w:val="20"/>
        </w:rPr>
        <w:tab/>
        <w:t>United Nations Development Programme</w:t>
      </w:r>
    </w:p>
    <w:p w14:paraId="1352F294" w14:textId="46CB5150" w:rsidR="00AB5018" w:rsidRPr="004870C7" w:rsidRDefault="00AB5018" w:rsidP="00AB5018">
      <w:pPr>
        <w:spacing w:after="120"/>
        <w:rPr>
          <w:iCs/>
          <w:szCs w:val="20"/>
        </w:rPr>
      </w:pPr>
      <w:r w:rsidRPr="004870C7">
        <w:rPr>
          <w:iCs/>
          <w:szCs w:val="20"/>
        </w:rPr>
        <w:t>UNFCCC</w:t>
      </w:r>
      <w:r w:rsidRPr="004870C7">
        <w:rPr>
          <w:iCs/>
          <w:szCs w:val="20"/>
        </w:rPr>
        <w:tab/>
        <w:t xml:space="preserve">                United Nations Framework Convention on Climate Change</w:t>
      </w:r>
    </w:p>
    <w:p w14:paraId="7030DD85" w14:textId="0B178725" w:rsidR="00AB5018" w:rsidRPr="004870C7" w:rsidRDefault="00AB5018" w:rsidP="00AB5018">
      <w:pPr>
        <w:spacing w:after="120"/>
        <w:rPr>
          <w:iCs/>
          <w:szCs w:val="20"/>
        </w:rPr>
      </w:pPr>
      <w:r w:rsidRPr="004870C7">
        <w:rPr>
          <w:iCs/>
          <w:szCs w:val="20"/>
        </w:rPr>
        <w:t>WGMA</w:t>
      </w:r>
      <w:r w:rsidRPr="004870C7">
        <w:rPr>
          <w:iCs/>
          <w:szCs w:val="20"/>
        </w:rPr>
        <w:tab/>
        <w:t xml:space="preserve">                Working Group on Mitigation and Adaptation</w:t>
      </w:r>
    </w:p>
    <w:p w14:paraId="7C3AB2EB" w14:textId="14A297C7" w:rsidR="00AB5018" w:rsidRPr="004870C7" w:rsidRDefault="00AB5018" w:rsidP="00AB5018">
      <w:pPr>
        <w:spacing w:after="240"/>
        <w:rPr>
          <w:iCs/>
          <w:szCs w:val="20"/>
        </w:rPr>
      </w:pPr>
    </w:p>
    <w:p w14:paraId="3CA55FF2" w14:textId="2F5E98AA" w:rsidR="00270835" w:rsidRPr="004870C7" w:rsidRDefault="00270835" w:rsidP="00AB5018">
      <w:pPr>
        <w:spacing w:after="240"/>
        <w:rPr>
          <w:iCs/>
          <w:szCs w:val="20"/>
        </w:rPr>
      </w:pPr>
    </w:p>
    <w:p w14:paraId="5B136BC0" w14:textId="2408576A" w:rsidR="00270835" w:rsidRPr="004870C7" w:rsidRDefault="00270835" w:rsidP="00AB5018">
      <w:pPr>
        <w:spacing w:after="240"/>
        <w:rPr>
          <w:iCs/>
          <w:szCs w:val="20"/>
        </w:rPr>
      </w:pPr>
    </w:p>
    <w:p w14:paraId="6F0E49C8" w14:textId="0B1BA383" w:rsidR="00270835" w:rsidRPr="004870C7" w:rsidRDefault="00270835" w:rsidP="00AB5018">
      <w:pPr>
        <w:spacing w:after="240"/>
        <w:rPr>
          <w:iCs/>
          <w:szCs w:val="20"/>
        </w:rPr>
      </w:pPr>
    </w:p>
    <w:p w14:paraId="3E5C9176" w14:textId="06E2CE89" w:rsidR="00270835" w:rsidRPr="004870C7" w:rsidRDefault="00270835" w:rsidP="00AB5018">
      <w:pPr>
        <w:spacing w:after="240"/>
        <w:rPr>
          <w:iCs/>
          <w:szCs w:val="20"/>
        </w:rPr>
      </w:pPr>
    </w:p>
    <w:p w14:paraId="461A2088" w14:textId="5DE5B345" w:rsidR="00270835" w:rsidRPr="004870C7" w:rsidRDefault="00270835" w:rsidP="00AB5018">
      <w:pPr>
        <w:spacing w:after="240"/>
        <w:rPr>
          <w:iCs/>
          <w:szCs w:val="20"/>
        </w:rPr>
      </w:pPr>
    </w:p>
    <w:p w14:paraId="501B3B47" w14:textId="3304AC42" w:rsidR="00270835" w:rsidRPr="004870C7" w:rsidRDefault="00270835" w:rsidP="00AB5018">
      <w:pPr>
        <w:spacing w:after="240"/>
        <w:rPr>
          <w:iCs/>
          <w:szCs w:val="20"/>
        </w:rPr>
      </w:pPr>
    </w:p>
    <w:p w14:paraId="555126C8" w14:textId="237A112E" w:rsidR="00270835" w:rsidRPr="004870C7" w:rsidRDefault="00270835" w:rsidP="00AB5018">
      <w:pPr>
        <w:spacing w:after="240"/>
        <w:rPr>
          <w:iCs/>
          <w:szCs w:val="20"/>
        </w:rPr>
      </w:pPr>
    </w:p>
    <w:p w14:paraId="1CF1E99B" w14:textId="5263D815" w:rsidR="00270835" w:rsidRPr="004870C7" w:rsidRDefault="00270835" w:rsidP="00AB5018">
      <w:pPr>
        <w:spacing w:after="240"/>
        <w:rPr>
          <w:iCs/>
          <w:szCs w:val="20"/>
        </w:rPr>
      </w:pPr>
    </w:p>
    <w:p w14:paraId="5B65785E" w14:textId="23FA1361" w:rsidR="00270835" w:rsidRPr="004870C7" w:rsidRDefault="00270835" w:rsidP="00AB5018">
      <w:pPr>
        <w:spacing w:after="240"/>
        <w:rPr>
          <w:iCs/>
          <w:szCs w:val="20"/>
        </w:rPr>
      </w:pPr>
    </w:p>
    <w:p w14:paraId="4BC63818" w14:textId="21DD1D54" w:rsidR="00270835" w:rsidRPr="004870C7" w:rsidRDefault="00270835" w:rsidP="00AB5018">
      <w:pPr>
        <w:spacing w:after="240"/>
        <w:rPr>
          <w:iCs/>
          <w:szCs w:val="20"/>
        </w:rPr>
      </w:pPr>
    </w:p>
    <w:p w14:paraId="3ABAEC78" w14:textId="562DBA82" w:rsidR="00270835" w:rsidRPr="004870C7" w:rsidRDefault="00270835" w:rsidP="00AB5018">
      <w:pPr>
        <w:spacing w:after="240"/>
        <w:rPr>
          <w:iCs/>
          <w:szCs w:val="20"/>
        </w:rPr>
      </w:pPr>
    </w:p>
    <w:p w14:paraId="3358F275" w14:textId="7FC1A5D3" w:rsidR="00270835" w:rsidRPr="004870C7" w:rsidRDefault="00270835" w:rsidP="00AB5018">
      <w:pPr>
        <w:spacing w:after="240"/>
        <w:rPr>
          <w:iCs/>
          <w:szCs w:val="20"/>
        </w:rPr>
      </w:pPr>
    </w:p>
    <w:p w14:paraId="43038A9C" w14:textId="4A8B9E93" w:rsidR="00270835" w:rsidRPr="004870C7" w:rsidRDefault="00270835" w:rsidP="00AB5018">
      <w:pPr>
        <w:spacing w:after="240"/>
        <w:rPr>
          <w:iCs/>
          <w:szCs w:val="20"/>
        </w:rPr>
      </w:pPr>
    </w:p>
    <w:p w14:paraId="694F49DD" w14:textId="67EB06E8" w:rsidR="00270835" w:rsidRPr="004870C7" w:rsidRDefault="00270835" w:rsidP="00AB5018">
      <w:pPr>
        <w:spacing w:after="240"/>
        <w:rPr>
          <w:iCs/>
          <w:szCs w:val="20"/>
        </w:rPr>
      </w:pPr>
    </w:p>
    <w:p w14:paraId="3E74DC4E" w14:textId="47DE1C01" w:rsidR="00270835" w:rsidRPr="004870C7" w:rsidRDefault="00270835" w:rsidP="00AB5018">
      <w:pPr>
        <w:spacing w:after="240"/>
        <w:rPr>
          <w:iCs/>
          <w:szCs w:val="20"/>
        </w:rPr>
      </w:pPr>
    </w:p>
    <w:p w14:paraId="2EE524B6" w14:textId="77777777" w:rsidR="00270835" w:rsidRPr="004870C7" w:rsidRDefault="00270835" w:rsidP="00AB5018">
      <w:pPr>
        <w:spacing w:after="240"/>
        <w:rPr>
          <w:iCs/>
          <w:szCs w:val="20"/>
        </w:rPr>
      </w:pPr>
    </w:p>
    <w:p w14:paraId="30A29A86" w14:textId="77777777" w:rsidR="005D330B" w:rsidRPr="004870C7" w:rsidRDefault="005D330B" w:rsidP="005D330B">
      <w:pPr>
        <w:pStyle w:val="Heading1"/>
        <w:numPr>
          <w:ilvl w:val="0"/>
          <w:numId w:val="0"/>
        </w:numPr>
        <w:spacing w:before="0" w:after="0" w:line="271" w:lineRule="auto"/>
        <w:ind w:left="720" w:hanging="720"/>
        <w:jc w:val="left"/>
        <w:rPr>
          <w:rFonts w:ascii="Calibri" w:hAnsi="Calibri"/>
        </w:rPr>
      </w:pPr>
      <w:bookmarkStart w:id="7" w:name="_Toc407785517"/>
    </w:p>
    <w:p w14:paraId="1E9A74BE" w14:textId="5C233655" w:rsidR="00D218B7" w:rsidRPr="004870C7" w:rsidRDefault="008C65EB" w:rsidP="00270835">
      <w:pPr>
        <w:pStyle w:val="Heading1"/>
        <w:spacing w:before="0" w:after="0" w:line="271" w:lineRule="auto"/>
        <w:jc w:val="left"/>
        <w:rPr>
          <w:rFonts w:ascii="Calibri" w:hAnsi="Calibri"/>
        </w:rPr>
      </w:pPr>
      <w:bookmarkStart w:id="8" w:name="_Toc75965546"/>
      <w:r w:rsidRPr="004870C7">
        <w:rPr>
          <w:rFonts w:ascii="Calibri" w:hAnsi="Calibri"/>
        </w:rPr>
        <w:t xml:space="preserve">Development </w:t>
      </w:r>
      <w:r w:rsidR="00005D48" w:rsidRPr="004870C7">
        <w:rPr>
          <w:rFonts w:ascii="Calibri" w:hAnsi="Calibri"/>
        </w:rPr>
        <w:t>C</w:t>
      </w:r>
      <w:r w:rsidR="004C3717" w:rsidRPr="004870C7">
        <w:rPr>
          <w:rFonts w:ascii="Calibri" w:hAnsi="Calibri"/>
        </w:rPr>
        <w:t>hallenge</w:t>
      </w:r>
      <w:bookmarkEnd w:id="7"/>
      <w:bookmarkEnd w:id="8"/>
      <w:r w:rsidR="00A25CCB" w:rsidRPr="004870C7">
        <w:rPr>
          <w:rFonts w:ascii="Calibri" w:hAnsi="Calibri"/>
        </w:rPr>
        <w:t xml:space="preserve"> </w:t>
      </w:r>
    </w:p>
    <w:p w14:paraId="1F8CACFA" w14:textId="72D4C563" w:rsidR="003A0309" w:rsidRPr="004870C7" w:rsidRDefault="003A0309" w:rsidP="00AF1CED">
      <w:pPr>
        <w:spacing w:after="0"/>
        <w:jc w:val="left"/>
        <w:rPr>
          <w:i/>
          <w:szCs w:val="20"/>
        </w:rPr>
      </w:pPr>
    </w:p>
    <w:p w14:paraId="506AE33F" w14:textId="77777777" w:rsidR="003A0309" w:rsidRPr="004870C7" w:rsidRDefault="003A0309" w:rsidP="00024A75">
      <w:pPr>
        <w:spacing w:after="0"/>
        <w:rPr>
          <w:iCs/>
          <w:szCs w:val="20"/>
        </w:rPr>
      </w:pPr>
      <w:r w:rsidRPr="004870C7">
        <w:rPr>
          <w:iCs/>
          <w:szCs w:val="20"/>
        </w:rPr>
        <w:t>Montenegro became a party to the UN Framework Convention on Climate Change by succession, after becoming independent in 2006, being a non-Annex I Party to the UNFCCC. The Ministry of Ecology, Spatial Planning and Urbanist (MESPU) is the main national entity responsible for the national environmental and climate change policy and the National Focal Point to the UNFCCC.</w:t>
      </w:r>
    </w:p>
    <w:p w14:paraId="2F9CBF1B" w14:textId="77777777" w:rsidR="003A0309" w:rsidRPr="004870C7" w:rsidRDefault="003A0309" w:rsidP="00024A75">
      <w:pPr>
        <w:spacing w:after="0"/>
        <w:rPr>
          <w:iCs/>
          <w:szCs w:val="20"/>
        </w:rPr>
      </w:pPr>
    </w:p>
    <w:p w14:paraId="2B5C32C5" w14:textId="128C022E" w:rsidR="003A0309" w:rsidRPr="004870C7" w:rsidRDefault="003A0309" w:rsidP="00024A75">
      <w:pPr>
        <w:spacing w:after="0"/>
        <w:rPr>
          <w:iCs/>
          <w:szCs w:val="20"/>
        </w:rPr>
      </w:pPr>
      <w:r w:rsidRPr="004870C7">
        <w:rPr>
          <w:iCs/>
          <w:szCs w:val="20"/>
        </w:rPr>
        <w:t xml:space="preserve">Montenegro submitted its </w:t>
      </w:r>
      <w:r w:rsidR="00AE658A" w:rsidRPr="004870C7">
        <w:rPr>
          <w:iCs/>
          <w:szCs w:val="20"/>
        </w:rPr>
        <w:t>I</w:t>
      </w:r>
      <w:r w:rsidRPr="004870C7">
        <w:rPr>
          <w:iCs/>
          <w:szCs w:val="20"/>
        </w:rPr>
        <w:t>nitial National Communication (INC) in 2011. The report focused mainly on the preparation of a detailed inventory of GHG emissions and a general description of steps taken or envisaged to implement the Convention. The report updated the national GHG inventory using the year 1990 as a base year and presented a trend analysis of the period 1990-2003. The report also includes the mitigation analysis, a downscaling of global circulation models and an analysis of vulnerable sectors and possible adaptation measures. The Second National Communication (SNC) was prepared and submitted in May 2015. The report updated the national GHG inventory using the year 1990 as a base year and presented a trend analysis of the period 1990-2011. The SNC provides updated mitigation analysis, and updated analysis of vulnerable sectors and possible adaptation measures. The Third National Communication (TNC) was submitted to the UNFCCC Secretariat in October 2020.  The communication updated the national GHG inventory with up-to-date recalculations for the period 1990-2017, in accordance with 2006 IPCC Guidelines. The update was prepared in line with the findings from UNFCCC Quality Assurance Workshop of the national GHG management system and national GHG inventory of Montenegro. Furthermore, the TNC comprehends updated chapters on Mitigation and Vulnerability &amp; Adaptation Analysis as well as Constrains, Gaps and Needs Analysis.</w:t>
      </w:r>
    </w:p>
    <w:p w14:paraId="0B147FBE" w14:textId="77777777" w:rsidR="003A0309" w:rsidRPr="004870C7" w:rsidRDefault="003A0309" w:rsidP="00024A75">
      <w:pPr>
        <w:spacing w:after="0"/>
        <w:rPr>
          <w:iCs/>
          <w:szCs w:val="20"/>
        </w:rPr>
      </w:pPr>
    </w:p>
    <w:p w14:paraId="2C755D23" w14:textId="77777777" w:rsidR="003A0309" w:rsidRPr="004870C7" w:rsidRDefault="003A0309" w:rsidP="00024A75">
      <w:pPr>
        <w:spacing w:after="0"/>
        <w:rPr>
          <w:iCs/>
          <w:szCs w:val="20"/>
        </w:rPr>
      </w:pPr>
      <w:r w:rsidRPr="004870C7">
        <w:rPr>
          <w:iCs/>
          <w:szCs w:val="20"/>
        </w:rPr>
        <w:t xml:space="preserve">The First Biennial Update Report (FBUR) was developed and submitted in January 2016. The Second Biennial Update Report (SBUR) was submitted to the UNFCCC Secretariat in May 2019. The FBUR updated the national GHG inventory for the whole series 1990-2013, using IPPC 2006 Guidelines, while through the SBUR further improvement of the national GHG inventory 1990-2015 was done. The SBUR also covers Climate Change Mitigation and Action Plan as well as Development of Conceptual Framework for Monitoring, Reporting and Verification (MRV). The Third Biennial Update Report (TBUR) is currently underway and its submission to the UNFCCC is planned for December 2021. </w:t>
      </w:r>
    </w:p>
    <w:p w14:paraId="2D82DBA3" w14:textId="77777777" w:rsidR="003A0309" w:rsidRPr="004870C7" w:rsidRDefault="003A0309" w:rsidP="00024A75">
      <w:pPr>
        <w:spacing w:after="0"/>
        <w:rPr>
          <w:iCs/>
          <w:szCs w:val="20"/>
        </w:rPr>
      </w:pPr>
    </w:p>
    <w:p w14:paraId="1030C07A" w14:textId="77777777" w:rsidR="003A0309" w:rsidRPr="004870C7" w:rsidRDefault="003A0309" w:rsidP="00024A75">
      <w:pPr>
        <w:spacing w:after="0"/>
        <w:rPr>
          <w:iCs/>
          <w:szCs w:val="20"/>
        </w:rPr>
      </w:pPr>
      <w:r w:rsidRPr="004870C7">
        <w:rPr>
          <w:iCs/>
          <w:szCs w:val="20"/>
        </w:rPr>
        <w:t>Montenegro is implementing several international obligations to move towards a low-carbon economy, including the establishment of goals for increasing the share of renewable energy by final energy demand, improving energy efficiency, and reducing GHG emissions in electricity generation by reducing operational hours of the only lignite-fired power plant, as well as eco-upgrade of this power plant including the construction of the desulphurization and denitrification system, upgrade to the electro-filtering plant, construction of waste water treatment facility, and reconstruction of the internal system for transporting ash and slag that will significantly reduce all the air pollutants (SO</w:t>
      </w:r>
      <w:r w:rsidRPr="004870C7">
        <w:rPr>
          <w:iCs/>
          <w:szCs w:val="20"/>
          <w:vertAlign w:val="subscript"/>
        </w:rPr>
        <w:t>2</w:t>
      </w:r>
      <w:r w:rsidRPr="004870C7">
        <w:rPr>
          <w:iCs/>
          <w:szCs w:val="20"/>
        </w:rPr>
        <w:t>, NO</w:t>
      </w:r>
      <w:r w:rsidRPr="004870C7">
        <w:rPr>
          <w:iCs/>
          <w:szCs w:val="20"/>
          <w:vertAlign w:val="subscript"/>
        </w:rPr>
        <w:t>X</w:t>
      </w:r>
      <w:r w:rsidRPr="004870C7">
        <w:rPr>
          <w:iCs/>
          <w:szCs w:val="20"/>
        </w:rPr>
        <w:t>, PM</w:t>
      </w:r>
      <w:r w:rsidRPr="004870C7">
        <w:rPr>
          <w:iCs/>
          <w:szCs w:val="20"/>
          <w:vertAlign w:val="subscript"/>
        </w:rPr>
        <w:t>2.5</w:t>
      </w:r>
      <w:r w:rsidRPr="004870C7">
        <w:rPr>
          <w:iCs/>
          <w:szCs w:val="20"/>
        </w:rPr>
        <w:t xml:space="preserve">). The lignite-fired Thermal Power Plant (TPP) Pljevlja itself is envisaged as a heat source for the town of Pljevlja (envisaged heat removal from the turbine, heat exchangers, pumping station, and the auxiliary boiler room as the backup source). </w:t>
      </w:r>
    </w:p>
    <w:p w14:paraId="3954CE01" w14:textId="77777777" w:rsidR="003A0309" w:rsidRPr="004870C7" w:rsidRDefault="003A0309" w:rsidP="00024A75">
      <w:pPr>
        <w:spacing w:after="0"/>
        <w:rPr>
          <w:iCs/>
          <w:szCs w:val="20"/>
        </w:rPr>
      </w:pPr>
    </w:p>
    <w:p w14:paraId="056FD35C" w14:textId="7F32E8B0" w:rsidR="003A0309" w:rsidRDefault="003A0309" w:rsidP="00024A75">
      <w:pPr>
        <w:spacing w:after="0"/>
        <w:rPr>
          <w:iCs/>
          <w:szCs w:val="20"/>
        </w:rPr>
      </w:pPr>
      <w:r w:rsidRPr="004870C7">
        <w:rPr>
          <w:iCs/>
          <w:szCs w:val="20"/>
        </w:rPr>
        <w:t>In the public buildings sector, the government is focused on improving energy efficiency and comfort conditions in targeted buildings (hospitals, health centres, elementary schools, high schools, special schools, kindergartens and dormitories). In the residential buildings sector, the government subsidies on penetration of heating systems on modern biomass and improving living conditions through improved thermal insulation of household. Furthermore, the energy labeling and eco-design regulation for energy related products has been adopted. Over the last years, substantial investments have been made, and will continue to be made, into new renewable energy sources (wind generators, solar power plants and small hydropower plants (sHPPs), together with planned investments into solar power plants (SPPs), biogas-powered plants, and biomass cogeneration plants. In the transport sector, the government is mostly focused on improving infrastructure (roads, highway), on biofuels use as well as on alternative ways of mobility, such as e-vehicles.</w:t>
      </w:r>
    </w:p>
    <w:p w14:paraId="5F159661" w14:textId="77777777" w:rsidR="009A47BB" w:rsidRPr="004870C7" w:rsidRDefault="009A47BB" w:rsidP="00024A75">
      <w:pPr>
        <w:spacing w:after="0"/>
        <w:rPr>
          <w:iCs/>
          <w:szCs w:val="20"/>
        </w:rPr>
      </w:pPr>
    </w:p>
    <w:p w14:paraId="2E0C1F7A" w14:textId="77777777" w:rsidR="003A0309" w:rsidRPr="004870C7" w:rsidRDefault="003A0309" w:rsidP="00024A75">
      <w:pPr>
        <w:spacing w:after="0"/>
        <w:rPr>
          <w:iCs/>
          <w:szCs w:val="20"/>
        </w:rPr>
      </w:pPr>
      <w:r w:rsidRPr="004870C7">
        <w:rPr>
          <w:iCs/>
          <w:szCs w:val="20"/>
        </w:rPr>
        <w:lastRenderedPageBreak/>
        <w:t xml:space="preserve">The NCs and BTRs are a vital medium for the exchange of information on Parties’ responses to climate change and UNFCCC process. Both reports allow the parties to highlight the issues, problems, gaps and constraints faced as well as technical and financial supports needed by the Parties. Information from the reports has been used to integrate climate change issues into national sustainable development policy and planning. More specifically, the representatives of relevant ministries and agencies, particularly Ministry of Capital Investments, Ministry of Agriculture and Rural Development, Environmental Protection Agency, Statistical Office – MONSTAT, Ministry of Interior, etc. that participated in the SNC/TNC and the SBUR process used the technical reports, as well as experiences in their relevant policy and planning process. </w:t>
      </w:r>
    </w:p>
    <w:p w14:paraId="222067DC" w14:textId="77777777" w:rsidR="003A0309" w:rsidRPr="004870C7" w:rsidRDefault="003A0309" w:rsidP="00024A75">
      <w:pPr>
        <w:spacing w:after="0"/>
        <w:rPr>
          <w:iCs/>
          <w:szCs w:val="20"/>
        </w:rPr>
      </w:pPr>
    </w:p>
    <w:p w14:paraId="503D22E9" w14:textId="4F993FD5" w:rsidR="003A0309" w:rsidRPr="004870C7" w:rsidRDefault="003A0309" w:rsidP="00024A75">
      <w:pPr>
        <w:spacing w:after="0"/>
        <w:rPr>
          <w:iCs/>
          <w:szCs w:val="20"/>
        </w:rPr>
      </w:pPr>
      <w:r w:rsidRPr="004870C7">
        <w:rPr>
          <w:iCs/>
          <w:szCs w:val="20"/>
        </w:rPr>
        <w:t>As a result, Montenegro included climate change components into the national socio-economic policy and planning process. Under the GEF CC enabling activities, Montenegro has enhanced national capacities on development of GHG inventory, mitigation options and exposure to vulnerability and adaptation options. The accumulated capacities are hardly keeping pace with increasing threats and the growing issues and problems of climate change process. It is important for Montenegro to advance further its national capacities to cope with the existing and emerging issues and to communicate with UNFCCC parties in addressing climate change.</w:t>
      </w:r>
    </w:p>
    <w:p w14:paraId="42A30712" w14:textId="1A2F8114" w:rsidR="00B30F9E" w:rsidRPr="004870C7" w:rsidRDefault="00B30F9E" w:rsidP="00B30F9E">
      <w:pPr>
        <w:spacing w:after="0"/>
        <w:rPr>
          <w:iCs/>
          <w:szCs w:val="20"/>
        </w:rPr>
      </w:pPr>
      <w:r w:rsidRPr="00FF4CF8">
        <w:rPr>
          <w:iCs/>
          <w:szCs w:val="20"/>
        </w:rPr>
        <w:t>In its second Biennial Update Report (BUR) from 2019, Montenegro identified the main constraints as being the lack of a permanent and binding system for gathering and processing the data needed for its National Communications (NCs) and BURs and the lack of a system to sustainably monitor and support decision makers with regard to GHG trends, progress and options for mitigation actions. Furthermore, given developments in processes and agreements under the Convention, the party needs to constantly improve its capacity, expertise, and skills to meet its national obligations. Montenegro is also encountering technological, financial, and capacity constraints when implementing its identified actions.</w:t>
      </w:r>
    </w:p>
    <w:p w14:paraId="54712321" w14:textId="77777777" w:rsidR="003A0309" w:rsidRPr="004870C7" w:rsidRDefault="003A0309" w:rsidP="00024A75">
      <w:pPr>
        <w:spacing w:after="0"/>
        <w:rPr>
          <w:iCs/>
          <w:szCs w:val="20"/>
        </w:rPr>
      </w:pPr>
    </w:p>
    <w:p w14:paraId="135D84B4" w14:textId="4269A062" w:rsidR="003A0309" w:rsidRPr="004870C7" w:rsidRDefault="003A0309" w:rsidP="00024A75">
      <w:pPr>
        <w:spacing w:after="0"/>
        <w:rPr>
          <w:iCs/>
          <w:szCs w:val="20"/>
        </w:rPr>
      </w:pPr>
      <w:r w:rsidRPr="004870C7">
        <w:rPr>
          <w:iCs/>
          <w:szCs w:val="20"/>
        </w:rPr>
        <w:t xml:space="preserve">On its path towards accession to EU, Montenegro has opened Negotiation Chapter 27 covering Environment and Climate Change. It will have to integrate into domestic legal framework numerous requirements of the EU climate policy and to align with climate acquis. The EU Report on Montenegro’s progress (May 2019) in the accession process states that: “Limited progress has been made in further aligning legislation with the EU acquis. Montenegro should focus in particular on environment and climate change. Furthermore, Montenegro should in particular develop its National Energy and Climate Plan (NECP) in line with the Energy Community. Montenegro’s level of alignment on climate change remains limited. On horizontal legislation, in June 2018, Montenegro adopted the 2018-2020 action plan for its national strategy to align with and implement the EU acquis on environmental protection and climate change. However, the lack of administrative capacity and financial resources at national and local level are delaying the strategy's implementation. Genuine dialogue between civil society and the government is required to achieve effective public participation and consultation in decision-making. The Fund for Environmental Protection was formally established in November 2018 and is now becoming operational. Montenegro has a Climate Change Strategy up to 2030 in </w:t>
      </w:r>
      <w:r w:rsidR="00024A75" w:rsidRPr="004870C7">
        <w:rPr>
          <w:iCs/>
          <w:szCs w:val="20"/>
        </w:rPr>
        <w:t>place but</w:t>
      </w:r>
      <w:r w:rsidRPr="004870C7">
        <w:rPr>
          <w:iCs/>
          <w:szCs w:val="20"/>
        </w:rPr>
        <w:t xml:space="preserve"> has to intensify its work to ensure consistency with the EU 2030 climate and energy policy framework and to ensure that its strategy is integrated into all relevant sectoral policies and strategies. Considerable efforts are still needed to align with the EU climate acquis”.</w:t>
      </w:r>
    </w:p>
    <w:p w14:paraId="05B8AD75" w14:textId="77777777" w:rsidR="003A0309" w:rsidRPr="004870C7" w:rsidRDefault="003A0309" w:rsidP="00024A75">
      <w:pPr>
        <w:spacing w:after="0"/>
        <w:rPr>
          <w:iCs/>
          <w:szCs w:val="20"/>
        </w:rPr>
      </w:pPr>
    </w:p>
    <w:p w14:paraId="18E32099" w14:textId="77777777" w:rsidR="003A0309" w:rsidRPr="004870C7" w:rsidRDefault="003A0309" w:rsidP="00024A75">
      <w:pPr>
        <w:spacing w:after="0"/>
        <w:rPr>
          <w:iCs/>
          <w:szCs w:val="20"/>
        </w:rPr>
      </w:pPr>
      <w:r w:rsidRPr="004870C7">
        <w:rPr>
          <w:iCs/>
          <w:szCs w:val="20"/>
        </w:rPr>
        <w:t xml:space="preserve">Substantial efforts are also needed to fully integrate climate considerations into all relevant sectorial policies and strategies. Montenegro regularly associated itself with EU positions at international level. Regarding alignment with the climate acquis, the country’s monitoring, reporting and verification capacity is strengthened. </w:t>
      </w:r>
    </w:p>
    <w:p w14:paraId="5C663ECF" w14:textId="77777777" w:rsidR="003A0309" w:rsidRPr="004870C7" w:rsidRDefault="003A0309" w:rsidP="00024A75">
      <w:pPr>
        <w:spacing w:after="0"/>
        <w:rPr>
          <w:iCs/>
          <w:szCs w:val="20"/>
        </w:rPr>
      </w:pPr>
    </w:p>
    <w:p w14:paraId="59847200" w14:textId="77777777" w:rsidR="003A0309" w:rsidRPr="004870C7" w:rsidRDefault="003A0309" w:rsidP="00024A75">
      <w:pPr>
        <w:spacing w:after="0"/>
        <w:rPr>
          <w:iCs/>
          <w:szCs w:val="20"/>
        </w:rPr>
      </w:pPr>
      <w:r w:rsidRPr="004870C7">
        <w:rPr>
          <w:iCs/>
          <w:szCs w:val="20"/>
        </w:rPr>
        <w:t>The establishment of the National Council for Sustainable Development, Climate Change and Coastal Area Management (NCSDCCCAM) marks a positive development in inter-institutional coordination and cooperation. The Council needs to be strengthened further.</w:t>
      </w:r>
    </w:p>
    <w:p w14:paraId="49164BEE" w14:textId="77777777" w:rsidR="003A0309" w:rsidRPr="004870C7" w:rsidRDefault="003A0309" w:rsidP="003A0309">
      <w:pPr>
        <w:spacing w:after="0"/>
        <w:jc w:val="left"/>
        <w:rPr>
          <w:iCs/>
          <w:szCs w:val="20"/>
        </w:rPr>
      </w:pPr>
    </w:p>
    <w:p w14:paraId="776BD2CF" w14:textId="77777777" w:rsidR="003A0309" w:rsidRPr="004870C7" w:rsidRDefault="003A0309" w:rsidP="00024A75">
      <w:pPr>
        <w:spacing w:after="0"/>
        <w:rPr>
          <w:iCs/>
          <w:szCs w:val="20"/>
        </w:rPr>
      </w:pPr>
      <w:r w:rsidRPr="004870C7">
        <w:rPr>
          <w:iCs/>
          <w:szCs w:val="20"/>
        </w:rPr>
        <w:t>Montenegro participated in the Regional Implementation of Paris Agreement Project (RIPAP) which focused on capacity building and support for participating countries for implementing the 2015 Paris Climate Agreement. Support through RIPAP included support in preparing technical reports and documents, capacity building activities such as workshops and seminars, and ad hoc assistance. Outcomes included the upgrading of national GHG monitoring and reporting systems and practices and strengthening of MRV activities.</w:t>
      </w:r>
    </w:p>
    <w:p w14:paraId="7E8337DF" w14:textId="77777777" w:rsidR="003A0309" w:rsidRPr="004870C7" w:rsidRDefault="003A0309" w:rsidP="00024A75">
      <w:pPr>
        <w:spacing w:after="0"/>
        <w:rPr>
          <w:iCs/>
          <w:szCs w:val="20"/>
        </w:rPr>
      </w:pPr>
    </w:p>
    <w:p w14:paraId="0B035CC7" w14:textId="5273FB1E" w:rsidR="003A0309" w:rsidRDefault="003A0309" w:rsidP="00024A75">
      <w:pPr>
        <w:spacing w:after="0"/>
        <w:rPr>
          <w:iCs/>
          <w:szCs w:val="20"/>
        </w:rPr>
      </w:pPr>
      <w:r w:rsidRPr="004870C7">
        <w:rPr>
          <w:iCs/>
          <w:szCs w:val="20"/>
        </w:rPr>
        <w:lastRenderedPageBreak/>
        <w:t xml:space="preserve">In August 2015, the Intended Nationally Determined Contributions document was submitted to the UNFCCC and the Government committed to the goal of at least 30% GHG emission reduction by 2030 (compared to the 1990 reference year). Montenegro adopted the Law on Ratification of Paris Agreement in October 2017, confirming its INDC submitted to the UNFCCC in September 2015. </w:t>
      </w:r>
      <w:r w:rsidR="00F461B5">
        <w:rPr>
          <w:iCs/>
          <w:szCs w:val="20"/>
        </w:rPr>
        <w:t xml:space="preserve"> </w:t>
      </w:r>
      <w:r w:rsidR="00F461B5" w:rsidRPr="00F461B5">
        <w:rPr>
          <w:iCs/>
          <w:szCs w:val="20"/>
        </w:rPr>
        <w:t>The updated NDC2 has been developed with UNDP support, and was submitted to the UNFCCC Secretariat</w:t>
      </w:r>
      <w:r w:rsidR="00F461B5">
        <w:rPr>
          <w:iCs/>
          <w:szCs w:val="20"/>
        </w:rPr>
        <w:t xml:space="preserve"> </w:t>
      </w:r>
      <w:r w:rsidR="00F461B5" w:rsidRPr="00F461B5">
        <w:rPr>
          <w:iCs/>
          <w:szCs w:val="20"/>
        </w:rPr>
        <w:t>on 25 June 202</w:t>
      </w:r>
      <w:r w:rsidR="00F461B5">
        <w:rPr>
          <w:iCs/>
          <w:szCs w:val="20"/>
        </w:rPr>
        <w:t>1</w:t>
      </w:r>
      <w:r w:rsidR="00F461B5" w:rsidRPr="00F461B5">
        <w:rPr>
          <w:iCs/>
          <w:szCs w:val="20"/>
        </w:rPr>
        <w:t>. In the updated NDC</w:t>
      </w:r>
      <w:r w:rsidR="00F461B5">
        <w:rPr>
          <w:iCs/>
          <w:szCs w:val="20"/>
        </w:rPr>
        <w:t>,</w:t>
      </w:r>
      <w:r w:rsidR="00F461B5" w:rsidRPr="00F461B5">
        <w:rPr>
          <w:iCs/>
          <w:szCs w:val="20"/>
        </w:rPr>
        <w:t xml:space="preserve"> the Government has raised the target of the INDC and committed to achieve at least 35% reduction in total national GHG emission (excl. LULUCF) by 2030 compared to the base year of 1990.</w:t>
      </w:r>
    </w:p>
    <w:p w14:paraId="797F0074" w14:textId="77777777" w:rsidR="00EB1E40" w:rsidRPr="004870C7" w:rsidRDefault="00EB1E40" w:rsidP="00024A75">
      <w:pPr>
        <w:spacing w:after="0"/>
        <w:rPr>
          <w:iCs/>
          <w:szCs w:val="20"/>
        </w:rPr>
      </w:pPr>
    </w:p>
    <w:p w14:paraId="6F06AE60" w14:textId="1D4EBDB6" w:rsidR="00D36507" w:rsidRPr="004870C7" w:rsidRDefault="004C3717" w:rsidP="001354E3">
      <w:pPr>
        <w:pStyle w:val="Heading1"/>
        <w:spacing w:before="0" w:after="0"/>
        <w:jc w:val="left"/>
        <w:rPr>
          <w:rFonts w:ascii="Calibri" w:hAnsi="Calibri"/>
          <w:szCs w:val="28"/>
        </w:rPr>
      </w:pPr>
      <w:bookmarkStart w:id="9" w:name="_Toc75965547"/>
      <w:bookmarkStart w:id="10" w:name="_Toc207800911"/>
      <w:r w:rsidRPr="004870C7">
        <w:rPr>
          <w:rFonts w:ascii="Calibri" w:hAnsi="Calibri"/>
          <w:szCs w:val="28"/>
        </w:rPr>
        <w:t>Strategy</w:t>
      </w:r>
      <w:bookmarkEnd w:id="9"/>
      <w:r w:rsidR="00A25CCB" w:rsidRPr="004870C7">
        <w:rPr>
          <w:rFonts w:ascii="Calibri" w:hAnsi="Calibri"/>
          <w:szCs w:val="28"/>
        </w:rPr>
        <w:t xml:space="preserve"> </w:t>
      </w:r>
      <w:bookmarkEnd w:id="10"/>
    </w:p>
    <w:p w14:paraId="61CBAB11" w14:textId="5D6EA768" w:rsidR="003A0309" w:rsidRPr="004870C7" w:rsidRDefault="003A0309" w:rsidP="001354E3">
      <w:pPr>
        <w:spacing w:after="0"/>
        <w:jc w:val="left"/>
        <w:rPr>
          <w:i/>
          <w:szCs w:val="20"/>
          <w:highlight w:val="yellow"/>
        </w:rPr>
      </w:pPr>
    </w:p>
    <w:p w14:paraId="03B4E80D" w14:textId="27C84301" w:rsidR="003A0309" w:rsidRPr="004870C7" w:rsidRDefault="003A0309" w:rsidP="00391910">
      <w:pPr>
        <w:spacing w:after="0"/>
        <w:rPr>
          <w:iCs/>
          <w:szCs w:val="20"/>
        </w:rPr>
      </w:pPr>
      <w:r w:rsidRPr="004870C7">
        <w:rPr>
          <w:iCs/>
          <w:szCs w:val="20"/>
        </w:rPr>
        <w:t>In order to improve climate change governance and meet the challenges that Montenegro will face as a results of climate change, there is a need to mainstream climate change concepts into national and sectoral development plans. This project builds on a broader level and as part of its ultimate and long-term objectives, contributes into mainstreaming climate change concepts by strengthening the institutional capacity in</w:t>
      </w:r>
      <w:r w:rsidR="00471AC6" w:rsidRPr="004870C7">
        <w:rPr>
          <w:iCs/>
          <w:szCs w:val="20"/>
        </w:rPr>
        <w:t xml:space="preserve"> monitoring and reporting on climate change impacts and actions in</w:t>
      </w:r>
      <w:r w:rsidRPr="004870C7">
        <w:rPr>
          <w:iCs/>
          <w:szCs w:val="20"/>
        </w:rPr>
        <w:t xml:space="preserve"> parallel to the other projects running in cooperation with the Ministry of Ecology, Spatial Planning and Urbanism.  </w:t>
      </w:r>
    </w:p>
    <w:p w14:paraId="4E36DFF6" w14:textId="77777777" w:rsidR="003A0309" w:rsidRPr="004870C7" w:rsidRDefault="003A0309" w:rsidP="003A0309">
      <w:pPr>
        <w:spacing w:after="0"/>
        <w:jc w:val="left"/>
        <w:rPr>
          <w:iCs/>
          <w:szCs w:val="20"/>
        </w:rPr>
      </w:pPr>
    </w:p>
    <w:p w14:paraId="2A3AC4C6" w14:textId="489D94F0" w:rsidR="003A0309" w:rsidRPr="004870C7" w:rsidRDefault="003A0309" w:rsidP="00391910">
      <w:pPr>
        <w:spacing w:after="0"/>
        <w:rPr>
          <w:iCs/>
          <w:szCs w:val="20"/>
        </w:rPr>
      </w:pPr>
      <w:r w:rsidRPr="004870C7">
        <w:rPr>
          <w:iCs/>
          <w:szCs w:val="20"/>
        </w:rPr>
        <w:t>The immediate objective of the proposed Enabling Activity Project is to assist the Government of Montenegro to perform the activities necessary to prepare the Fourth National Communicat</w:t>
      </w:r>
      <w:r w:rsidR="00391910" w:rsidRPr="004870C7">
        <w:rPr>
          <w:iCs/>
          <w:szCs w:val="20"/>
        </w:rPr>
        <w:t>ion</w:t>
      </w:r>
      <w:r w:rsidRPr="004870C7">
        <w:rPr>
          <w:iCs/>
          <w:szCs w:val="20"/>
        </w:rPr>
        <w:t xml:space="preserve"> and the First Biennial Tr</w:t>
      </w:r>
      <w:r w:rsidR="00391910" w:rsidRPr="004870C7">
        <w:rPr>
          <w:iCs/>
          <w:szCs w:val="20"/>
        </w:rPr>
        <w:t>a</w:t>
      </w:r>
      <w:r w:rsidRPr="004870C7">
        <w:rPr>
          <w:iCs/>
          <w:szCs w:val="20"/>
        </w:rPr>
        <w:t>nsparency Report</w:t>
      </w:r>
      <w:r w:rsidR="00B34E27" w:rsidRPr="004870C7">
        <w:rPr>
          <w:iCs/>
          <w:szCs w:val="20"/>
        </w:rPr>
        <w:t xml:space="preserve"> (4NC/1BTR)</w:t>
      </w:r>
      <w:r w:rsidRPr="004870C7">
        <w:rPr>
          <w:iCs/>
          <w:szCs w:val="20"/>
        </w:rPr>
        <w:t xml:space="preserve">, thus </w:t>
      </w:r>
      <w:r w:rsidR="00471AC6" w:rsidRPr="004870C7">
        <w:rPr>
          <w:iCs/>
          <w:szCs w:val="20"/>
        </w:rPr>
        <w:t xml:space="preserve">to fulfil </w:t>
      </w:r>
      <w:r w:rsidRPr="004870C7">
        <w:rPr>
          <w:iCs/>
          <w:szCs w:val="20"/>
        </w:rPr>
        <w:t xml:space="preserve">its obligations to the Convention as per decisions 1/CP.16 </w:t>
      </w:r>
      <w:r w:rsidR="00963C92" w:rsidRPr="004870C7">
        <w:rPr>
          <w:iCs/>
          <w:szCs w:val="20"/>
        </w:rPr>
        <w:t>,</w:t>
      </w:r>
      <w:r w:rsidRPr="004870C7">
        <w:rPr>
          <w:iCs/>
          <w:szCs w:val="20"/>
        </w:rPr>
        <w:t>2/CP.17</w:t>
      </w:r>
      <w:r w:rsidR="00963C92" w:rsidRPr="004870C7">
        <w:rPr>
          <w:iCs/>
          <w:szCs w:val="20"/>
        </w:rPr>
        <w:t xml:space="preserve"> and 18/CMA.</w:t>
      </w:r>
      <w:r w:rsidR="006D07AF" w:rsidRPr="004870C7">
        <w:rPr>
          <w:iCs/>
          <w:szCs w:val="20"/>
        </w:rPr>
        <w:t>1.</w:t>
      </w:r>
      <w:r w:rsidRPr="004870C7">
        <w:rPr>
          <w:iCs/>
          <w:szCs w:val="20"/>
        </w:rPr>
        <w:t xml:space="preserve"> This project is prepared in line with the GEF7 climate change mitigation objective CCM3: Foster Enabling Conditions to Mainstream Mitigation Concerns into Sustainable Development Strategies.</w:t>
      </w:r>
    </w:p>
    <w:p w14:paraId="2B9BA2B1" w14:textId="77777777" w:rsidR="003A0309" w:rsidRPr="004870C7" w:rsidRDefault="003A0309" w:rsidP="003A0309">
      <w:pPr>
        <w:spacing w:after="0"/>
        <w:jc w:val="left"/>
        <w:rPr>
          <w:iCs/>
          <w:szCs w:val="20"/>
        </w:rPr>
      </w:pPr>
    </w:p>
    <w:p w14:paraId="3AE845FF" w14:textId="6261BC15" w:rsidR="003A0309" w:rsidRPr="004870C7" w:rsidRDefault="003A0309" w:rsidP="00391910">
      <w:pPr>
        <w:spacing w:after="0"/>
        <w:rPr>
          <w:iCs/>
          <w:szCs w:val="20"/>
        </w:rPr>
      </w:pPr>
      <w:r w:rsidRPr="004870C7">
        <w:rPr>
          <w:iCs/>
          <w:szCs w:val="20"/>
        </w:rPr>
        <w:t>This project presen</w:t>
      </w:r>
      <w:r w:rsidR="00391910" w:rsidRPr="004870C7">
        <w:rPr>
          <w:iCs/>
          <w:szCs w:val="20"/>
        </w:rPr>
        <w:t xml:space="preserve">ts an </w:t>
      </w:r>
      <w:r w:rsidRPr="004870C7">
        <w:rPr>
          <w:iCs/>
          <w:szCs w:val="20"/>
        </w:rPr>
        <w:t>opportunity to strengthen Montenegro’s capacities to meet its reporting obligations towards UNFCCC. In the absence of this project, the country is not likely to meet these obligations in time, i.e. it would be most likely missing critical and important milestones necessary for the country to meet national sustainable development goals.</w:t>
      </w:r>
    </w:p>
    <w:p w14:paraId="7BD21DE0" w14:textId="77777777" w:rsidR="003A0309" w:rsidRPr="004870C7" w:rsidRDefault="003A0309" w:rsidP="003A0309">
      <w:pPr>
        <w:spacing w:after="0"/>
        <w:jc w:val="left"/>
        <w:rPr>
          <w:iCs/>
          <w:szCs w:val="20"/>
        </w:rPr>
      </w:pPr>
    </w:p>
    <w:p w14:paraId="46D11D33" w14:textId="1C31CD05" w:rsidR="003A0309" w:rsidRPr="004870C7" w:rsidRDefault="003A0309" w:rsidP="00391910">
      <w:pPr>
        <w:spacing w:after="0"/>
        <w:rPr>
          <w:iCs/>
          <w:szCs w:val="20"/>
        </w:rPr>
      </w:pPr>
      <w:r w:rsidRPr="004870C7">
        <w:rPr>
          <w:iCs/>
          <w:szCs w:val="20"/>
        </w:rPr>
        <w:t xml:space="preserve">Montenegro already benefits from a very good baseline of political commitment and institutional mechanisms, as reflected by, among others, the Law on </w:t>
      </w:r>
      <w:r w:rsidR="00391910" w:rsidRPr="004870C7">
        <w:rPr>
          <w:iCs/>
          <w:szCs w:val="20"/>
        </w:rPr>
        <w:t xml:space="preserve">Protection Against Adverse Impacts of Climate </w:t>
      </w:r>
      <w:r w:rsidRPr="004870C7">
        <w:rPr>
          <w:iCs/>
          <w:szCs w:val="20"/>
        </w:rPr>
        <w:t>Change, the National Council for Sustainable Development, Climate Change and Integrated Coastal Zone Management (NCSD), and the working groups under the Council.</w:t>
      </w:r>
      <w:r w:rsidR="00391910" w:rsidRPr="004870C7">
        <w:rPr>
          <w:iCs/>
          <w:szCs w:val="20"/>
        </w:rPr>
        <w:t xml:space="preserve"> </w:t>
      </w:r>
      <w:r w:rsidRPr="004870C7">
        <w:rPr>
          <w:iCs/>
          <w:szCs w:val="20"/>
        </w:rPr>
        <w:t>The project will work closely with the government bodies, especially D</w:t>
      </w:r>
      <w:r w:rsidR="00391910" w:rsidRPr="004870C7">
        <w:rPr>
          <w:iCs/>
          <w:szCs w:val="20"/>
        </w:rPr>
        <w:t xml:space="preserve">epartment </w:t>
      </w:r>
      <w:r w:rsidRPr="004870C7">
        <w:rPr>
          <w:iCs/>
          <w:szCs w:val="20"/>
        </w:rPr>
        <w:t>for Climate Change</w:t>
      </w:r>
      <w:r w:rsidR="00391910" w:rsidRPr="004870C7">
        <w:rPr>
          <w:iCs/>
          <w:szCs w:val="20"/>
        </w:rPr>
        <w:t xml:space="preserve"> within MESPU</w:t>
      </w:r>
      <w:r w:rsidRPr="004870C7">
        <w:rPr>
          <w:iCs/>
          <w:szCs w:val="20"/>
        </w:rPr>
        <w:t xml:space="preserve"> and Environment Protection Agency, as well as other associated members of the Council’s Working Group on Mitigation and Adaptation in the form of technical capacity building. Consultations during the concept stage resulted in this project’s design, recognizing that Montenegro has to, together with collecting GHG emission data, work on building capacities of national partners, having in mind long-term reporting requirements. </w:t>
      </w:r>
    </w:p>
    <w:p w14:paraId="5F5A0D0F" w14:textId="77777777" w:rsidR="003A0309" w:rsidRPr="004870C7" w:rsidRDefault="003A0309" w:rsidP="003A0309">
      <w:pPr>
        <w:spacing w:after="0"/>
        <w:jc w:val="left"/>
        <w:rPr>
          <w:iCs/>
          <w:szCs w:val="20"/>
        </w:rPr>
      </w:pPr>
    </w:p>
    <w:p w14:paraId="1CB3E8FE" w14:textId="1E418B8B" w:rsidR="003A0309" w:rsidRPr="004870C7" w:rsidRDefault="003A0309" w:rsidP="00391910">
      <w:pPr>
        <w:spacing w:after="0"/>
        <w:rPr>
          <w:iCs/>
          <w:szCs w:val="20"/>
        </w:rPr>
      </w:pPr>
      <w:r w:rsidRPr="004870C7">
        <w:rPr>
          <w:iCs/>
          <w:szCs w:val="20"/>
        </w:rPr>
        <w:t xml:space="preserve">Through the process of preparing the Second Biennial Update Report, Montenegro developed a conceptual framework and pilot information system for monitoring and reporting on climate challenges, associated actions, their benefits, costs and associated financial and capacity building support, as well as links to the wider impacts of these actions on SDGs.  This system will provide a backbone for Montenegro to start the process of collecting and processing data to inform its decision-makers on climate change related actions, as well as to report on the progress.  Notwithstanding the expertise currently resident in Montenegro, there is still a lack of a coordinated team of support and climate finance expertise.  </w:t>
      </w:r>
    </w:p>
    <w:p w14:paraId="3CFE2B5F" w14:textId="77777777" w:rsidR="003A0309" w:rsidRPr="004870C7" w:rsidRDefault="003A0309" w:rsidP="003A0309">
      <w:pPr>
        <w:spacing w:after="0"/>
        <w:jc w:val="left"/>
        <w:rPr>
          <w:iCs/>
          <w:szCs w:val="20"/>
        </w:rPr>
      </w:pPr>
    </w:p>
    <w:p w14:paraId="7DD29FD8" w14:textId="5DDEFD52" w:rsidR="003A0309" w:rsidRPr="004870C7" w:rsidRDefault="003A0309" w:rsidP="00391910">
      <w:pPr>
        <w:spacing w:after="0"/>
        <w:rPr>
          <w:iCs/>
          <w:szCs w:val="20"/>
        </w:rPr>
      </w:pPr>
      <w:r w:rsidRPr="004870C7">
        <w:rPr>
          <w:iCs/>
          <w:szCs w:val="20"/>
        </w:rPr>
        <w:t xml:space="preserve">Formalizing national processes to capitalize of existing expertise, experience gained through other related initiatives, will help maintain the momentum needed to enable the development of data flows, analysis and provision of useful data for decision-making and reporting associated with Montenegro’s NDC. </w:t>
      </w:r>
    </w:p>
    <w:p w14:paraId="43C3F7A3" w14:textId="77777777" w:rsidR="003A0309" w:rsidRPr="004870C7" w:rsidRDefault="003A0309" w:rsidP="003A0309">
      <w:pPr>
        <w:spacing w:after="0"/>
        <w:jc w:val="left"/>
        <w:rPr>
          <w:iCs/>
          <w:szCs w:val="20"/>
        </w:rPr>
      </w:pPr>
    </w:p>
    <w:p w14:paraId="50000414" w14:textId="11AFFBC8" w:rsidR="003A0309" w:rsidRPr="004870C7" w:rsidRDefault="003A0309" w:rsidP="00391910">
      <w:pPr>
        <w:spacing w:after="0"/>
        <w:rPr>
          <w:iCs/>
          <w:szCs w:val="20"/>
        </w:rPr>
      </w:pPr>
      <w:r w:rsidRPr="004870C7">
        <w:rPr>
          <w:iCs/>
          <w:szCs w:val="20"/>
        </w:rPr>
        <w:t xml:space="preserve">The Enhanced Transparency Framework (ETF) under the Paris Agreement builds on the current, measurement, reporting and verification (MRV) system. Reporting under the existing MRV framework including NCs, BURs and ICA </w:t>
      </w:r>
      <w:r w:rsidRPr="004870C7">
        <w:rPr>
          <w:iCs/>
          <w:szCs w:val="20"/>
        </w:rPr>
        <w:lastRenderedPageBreak/>
        <w:t>form part of the experience drawn upon and contribute</w:t>
      </w:r>
      <w:r w:rsidR="00F105FD" w:rsidRPr="004870C7">
        <w:rPr>
          <w:iCs/>
          <w:szCs w:val="20"/>
        </w:rPr>
        <w:t>d</w:t>
      </w:r>
      <w:r w:rsidRPr="004870C7">
        <w:rPr>
          <w:iCs/>
          <w:szCs w:val="20"/>
        </w:rPr>
        <w:t xml:space="preserve"> to continuous building of capacity and expertise in advance of the ETF. The current framework provide</w:t>
      </w:r>
      <w:r w:rsidR="00F105FD" w:rsidRPr="004870C7">
        <w:rPr>
          <w:iCs/>
          <w:szCs w:val="20"/>
        </w:rPr>
        <w:t>d</w:t>
      </w:r>
      <w:r w:rsidRPr="004870C7">
        <w:rPr>
          <w:iCs/>
          <w:szCs w:val="20"/>
        </w:rPr>
        <w:t xml:space="preserve"> timeframes for improvements of capacity constraints and prepare</w:t>
      </w:r>
      <w:r w:rsidR="00F105FD" w:rsidRPr="004870C7">
        <w:rPr>
          <w:iCs/>
          <w:szCs w:val="20"/>
        </w:rPr>
        <w:t>d</w:t>
      </w:r>
      <w:r w:rsidRPr="004870C7">
        <w:rPr>
          <w:iCs/>
          <w:szCs w:val="20"/>
        </w:rPr>
        <w:t xml:space="preserve"> roadmap to becoming ETF ready. </w:t>
      </w:r>
      <w:r w:rsidR="00F105FD" w:rsidRPr="004870C7">
        <w:rPr>
          <w:iCs/>
          <w:szCs w:val="20"/>
        </w:rPr>
        <w:t xml:space="preserve">The preparation of 4NC/1BTR </w:t>
      </w:r>
      <w:r w:rsidRPr="004870C7">
        <w:rPr>
          <w:iCs/>
          <w:szCs w:val="20"/>
        </w:rPr>
        <w:t>is an opportunity to</w:t>
      </w:r>
      <w:r w:rsidR="00F105FD" w:rsidRPr="004870C7">
        <w:rPr>
          <w:iCs/>
          <w:szCs w:val="20"/>
        </w:rPr>
        <w:t xml:space="preserve"> continue to</w:t>
      </w:r>
      <w:r w:rsidRPr="004870C7">
        <w:rPr>
          <w:iCs/>
          <w:szCs w:val="20"/>
        </w:rPr>
        <w:t xml:space="preserve"> learn by doing, analyze gaps and needs, and to build the necessary institutions and processes for complying with the ETF.</w:t>
      </w:r>
    </w:p>
    <w:p w14:paraId="2BA94144" w14:textId="77777777" w:rsidR="003A0309" w:rsidRPr="004870C7" w:rsidRDefault="003A0309" w:rsidP="003A0309">
      <w:pPr>
        <w:spacing w:after="0"/>
        <w:jc w:val="left"/>
        <w:rPr>
          <w:iCs/>
          <w:szCs w:val="20"/>
        </w:rPr>
      </w:pPr>
    </w:p>
    <w:p w14:paraId="1739AAEB" w14:textId="77777777" w:rsidR="003A0309" w:rsidRPr="004870C7" w:rsidRDefault="003A0309" w:rsidP="008972ED">
      <w:pPr>
        <w:spacing w:after="0"/>
        <w:rPr>
          <w:iCs/>
          <w:szCs w:val="20"/>
        </w:rPr>
      </w:pPr>
      <w:r w:rsidRPr="004870C7">
        <w:rPr>
          <w:iCs/>
          <w:szCs w:val="20"/>
        </w:rPr>
        <w:t>With the 4NC/1BTR, Montenegro will be updating GHG Inventory for reporting year no more than two years prior to the submission of its national inventory report (x-2) which is in line with MPGs for BTR.</w:t>
      </w:r>
    </w:p>
    <w:p w14:paraId="1A5EAB5A" w14:textId="77777777" w:rsidR="003A0309" w:rsidRPr="004870C7" w:rsidRDefault="003A0309" w:rsidP="003A0309">
      <w:pPr>
        <w:spacing w:after="0"/>
        <w:jc w:val="left"/>
        <w:rPr>
          <w:iCs/>
          <w:szCs w:val="20"/>
        </w:rPr>
      </w:pPr>
    </w:p>
    <w:p w14:paraId="155345D8" w14:textId="77777777" w:rsidR="003A0309" w:rsidRPr="004870C7" w:rsidRDefault="003A0309" w:rsidP="001354E3">
      <w:pPr>
        <w:spacing w:after="0"/>
        <w:jc w:val="left"/>
        <w:rPr>
          <w:i/>
          <w:szCs w:val="20"/>
          <w:highlight w:val="yellow"/>
        </w:rPr>
      </w:pPr>
    </w:p>
    <w:p w14:paraId="554FF63D" w14:textId="77777777" w:rsidR="00F00E11" w:rsidRPr="004870C7" w:rsidRDefault="0032007D" w:rsidP="00841551">
      <w:pPr>
        <w:pStyle w:val="Heading1"/>
        <w:spacing w:before="0" w:after="0"/>
        <w:rPr>
          <w:rFonts w:ascii="Calibri" w:hAnsi="Calibri"/>
          <w:szCs w:val="28"/>
        </w:rPr>
      </w:pPr>
      <w:bookmarkStart w:id="11" w:name="_Toc75965548"/>
      <w:r w:rsidRPr="004870C7">
        <w:rPr>
          <w:rFonts w:ascii="Calibri" w:hAnsi="Calibri"/>
          <w:szCs w:val="28"/>
        </w:rPr>
        <w:t>Results and P</w:t>
      </w:r>
      <w:r w:rsidR="00DA3833" w:rsidRPr="004870C7">
        <w:rPr>
          <w:rFonts w:ascii="Calibri" w:hAnsi="Calibri"/>
          <w:szCs w:val="28"/>
        </w:rPr>
        <w:t>artnerships</w:t>
      </w:r>
      <w:bookmarkEnd w:id="11"/>
      <w:r w:rsidR="0094042F" w:rsidRPr="004870C7">
        <w:rPr>
          <w:rFonts w:ascii="Calibri" w:hAnsi="Calibri"/>
          <w:szCs w:val="28"/>
        </w:rPr>
        <w:t xml:space="preserve"> </w:t>
      </w:r>
    </w:p>
    <w:p w14:paraId="59AF9178" w14:textId="77777777" w:rsidR="004D1EBD" w:rsidRPr="004870C7" w:rsidRDefault="004D1EBD" w:rsidP="001354E3">
      <w:pPr>
        <w:spacing w:after="0"/>
        <w:jc w:val="left"/>
        <w:rPr>
          <w:i/>
          <w:szCs w:val="20"/>
          <w:highlight w:val="yellow"/>
        </w:rPr>
      </w:pPr>
    </w:p>
    <w:p w14:paraId="5CE90853" w14:textId="09BD7531" w:rsidR="0012128B" w:rsidRPr="004870C7" w:rsidRDefault="00C644BD" w:rsidP="001354E3">
      <w:pPr>
        <w:spacing w:after="0"/>
        <w:jc w:val="left"/>
        <w:rPr>
          <w:i/>
          <w:szCs w:val="20"/>
        </w:rPr>
      </w:pPr>
      <w:r w:rsidRPr="004870C7">
        <w:rPr>
          <w:szCs w:val="20"/>
          <w:u w:val="single"/>
        </w:rPr>
        <w:t>Expected Results</w:t>
      </w:r>
      <w:r w:rsidRPr="004870C7">
        <w:rPr>
          <w:i/>
          <w:szCs w:val="20"/>
        </w:rPr>
        <w:t xml:space="preserve">:  </w:t>
      </w:r>
    </w:p>
    <w:p w14:paraId="4398C2ED" w14:textId="77777777" w:rsidR="00920495" w:rsidRPr="004870C7" w:rsidRDefault="00920495" w:rsidP="0067060B">
      <w:pPr>
        <w:spacing w:after="0"/>
        <w:rPr>
          <w:bCs/>
          <w:iCs/>
          <w:szCs w:val="20"/>
        </w:rPr>
      </w:pPr>
    </w:p>
    <w:p w14:paraId="769199E3" w14:textId="0776AF03" w:rsidR="00920495" w:rsidRPr="004870C7" w:rsidRDefault="00920495" w:rsidP="0067060B">
      <w:pPr>
        <w:spacing w:after="0"/>
        <w:rPr>
          <w:iCs/>
          <w:szCs w:val="20"/>
        </w:rPr>
      </w:pPr>
      <w:r w:rsidRPr="004870C7">
        <w:rPr>
          <w:iCs/>
          <w:szCs w:val="20"/>
        </w:rPr>
        <w:t xml:space="preserve">The project expected </w:t>
      </w:r>
      <w:r w:rsidR="0067060B" w:rsidRPr="004870C7">
        <w:rPr>
          <w:iCs/>
          <w:szCs w:val="20"/>
        </w:rPr>
        <w:t xml:space="preserve">components and </w:t>
      </w:r>
      <w:r w:rsidRPr="004870C7">
        <w:rPr>
          <w:iCs/>
          <w:szCs w:val="20"/>
        </w:rPr>
        <w:t xml:space="preserve">outcomes are: </w:t>
      </w:r>
    </w:p>
    <w:p w14:paraId="4AC99FF6" w14:textId="77777777" w:rsidR="00920495" w:rsidRPr="004870C7" w:rsidRDefault="00920495" w:rsidP="0067060B">
      <w:pPr>
        <w:spacing w:after="0"/>
        <w:rPr>
          <w:iCs/>
          <w:szCs w:val="20"/>
        </w:rPr>
      </w:pPr>
    </w:p>
    <w:p w14:paraId="340A7C01" w14:textId="77777777" w:rsidR="00920495" w:rsidRPr="004870C7" w:rsidRDefault="00920495" w:rsidP="0067060B">
      <w:pPr>
        <w:numPr>
          <w:ilvl w:val="0"/>
          <w:numId w:val="33"/>
        </w:numPr>
        <w:spacing w:after="0"/>
        <w:rPr>
          <w:rFonts w:cs="Calibri"/>
          <w:b/>
          <w:bCs/>
          <w:iCs/>
          <w:szCs w:val="20"/>
        </w:rPr>
      </w:pPr>
      <w:r w:rsidRPr="004870C7">
        <w:rPr>
          <w:rFonts w:cs="Calibri"/>
          <w:b/>
          <w:bCs/>
          <w:iCs/>
          <w:szCs w:val="20"/>
        </w:rPr>
        <w:t>National Circumstances, Institutional Arrangements, Description of NDC, Constraints, Gaps and Other Info</w:t>
      </w:r>
    </w:p>
    <w:p w14:paraId="114411D3" w14:textId="77777777" w:rsidR="00920495" w:rsidRPr="004870C7" w:rsidRDefault="00920495" w:rsidP="0067060B">
      <w:pPr>
        <w:spacing w:after="0"/>
        <w:rPr>
          <w:iCs/>
          <w:szCs w:val="20"/>
        </w:rPr>
      </w:pPr>
    </w:p>
    <w:p w14:paraId="7B6C8EDC" w14:textId="481C79BA" w:rsidR="00920495" w:rsidRPr="004870C7" w:rsidRDefault="00920495" w:rsidP="0067060B">
      <w:pPr>
        <w:numPr>
          <w:ilvl w:val="1"/>
          <w:numId w:val="28"/>
        </w:numPr>
        <w:spacing w:after="0"/>
        <w:rPr>
          <w:rFonts w:cs="Calibri"/>
          <w:iCs/>
          <w:szCs w:val="20"/>
        </w:rPr>
      </w:pPr>
      <w:r w:rsidRPr="004870C7">
        <w:rPr>
          <w:rFonts w:cs="Calibri"/>
          <w:iCs/>
          <w:szCs w:val="20"/>
        </w:rPr>
        <w:t>Review on previous National Communications and overview of the current circumstances, policies and institutional arrangements relevant to the preparation of the Fourth National Communication/Biennial Transparency Report;</w:t>
      </w:r>
    </w:p>
    <w:p w14:paraId="0EB18B81" w14:textId="77777777" w:rsidR="00920495" w:rsidRPr="004870C7" w:rsidRDefault="00920495" w:rsidP="0067060B">
      <w:pPr>
        <w:numPr>
          <w:ilvl w:val="1"/>
          <w:numId w:val="28"/>
        </w:numPr>
        <w:spacing w:after="0"/>
        <w:rPr>
          <w:rFonts w:cs="Calibri"/>
          <w:iCs/>
          <w:szCs w:val="20"/>
        </w:rPr>
      </w:pPr>
      <w:r w:rsidRPr="004870C7">
        <w:rPr>
          <w:rFonts w:cs="Calibri"/>
          <w:iCs/>
          <w:szCs w:val="20"/>
        </w:rPr>
        <w:t>Progress towards mainstreaming of climate change considerations along with gender issues into key development strategies and sector-based policy frameworks</w:t>
      </w:r>
    </w:p>
    <w:p w14:paraId="4C4197D3" w14:textId="77777777" w:rsidR="00920495" w:rsidRPr="004870C7" w:rsidRDefault="00920495" w:rsidP="0067060B">
      <w:pPr>
        <w:numPr>
          <w:ilvl w:val="1"/>
          <w:numId w:val="28"/>
        </w:numPr>
        <w:spacing w:after="0"/>
        <w:rPr>
          <w:rFonts w:cs="Calibri"/>
          <w:iCs/>
          <w:szCs w:val="20"/>
        </w:rPr>
      </w:pPr>
      <w:r w:rsidRPr="004870C7">
        <w:rPr>
          <w:rFonts w:cs="Calibri"/>
          <w:iCs/>
          <w:szCs w:val="20"/>
        </w:rPr>
        <w:t>Other relevant information described (research/systematic observation, technology transfer, education, public awareness, capacity building, constraints and gaps).</w:t>
      </w:r>
    </w:p>
    <w:p w14:paraId="0B6A49D4" w14:textId="77777777" w:rsidR="00920495" w:rsidRPr="004870C7" w:rsidRDefault="00920495" w:rsidP="0067060B">
      <w:pPr>
        <w:rPr>
          <w:rFonts w:cs="Calibri"/>
          <w:iCs/>
          <w:szCs w:val="20"/>
        </w:rPr>
      </w:pPr>
    </w:p>
    <w:p w14:paraId="079F0B22" w14:textId="77777777" w:rsidR="00920495" w:rsidRPr="004870C7" w:rsidRDefault="00920495" w:rsidP="0067060B">
      <w:pPr>
        <w:numPr>
          <w:ilvl w:val="0"/>
          <w:numId w:val="33"/>
        </w:numPr>
        <w:spacing w:after="0"/>
        <w:rPr>
          <w:rFonts w:cs="Calibri"/>
          <w:b/>
          <w:bCs/>
          <w:iCs/>
          <w:szCs w:val="20"/>
        </w:rPr>
      </w:pPr>
      <w:r w:rsidRPr="004870C7">
        <w:rPr>
          <w:rFonts w:cs="Calibri"/>
          <w:b/>
          <w:bCs/>
          <w:iCs/>
          <w:szCs w:val="20"/>
        </w:rPr>
        <w:t>GHG Inventory</w:t>
      </w:r>
    </w:p>
    <w:p w14:paraId="7B7AC4E8" w14:textId="77777777" w:rsidR="00920495" w:rsidRPr="004870C7" w:rsidRDefault="00920495" w:rsidP="0067060B">
      <w:pPr>
        <w:rPr>
          <w:rFonts w:cs="Calibri"/>
          <w:iCs/>
          <w:szCs w:val="20"/>
        </w:rPr>
      </w:pPr>
    </w:p>
    <w:p w14:paraId="2FE0E2E8" w14:textId="77777777" w:rsidR="00920495" w:rsidRPr="004870C7" w:rsidRDefault="00920495" w:rsidP="0067060B">
      <w:pPr>
        <w:numPr>
          <w:ilvl w:val="1"/>
          <w:numId w:val="29"/>
        </w:numPr>
        <w:spacing w:after="0"/>
        <w:rPr>
          <w:rFonts w:cs="Calibri"/>
          <w:iCs/>
          <w:szCs w:val="20"/>
        </w:rPr>
      </w:pPr>
      <w:r w:rsidRPr="004870C7">
        <w:rPr>
          <w:rFonts w:cs="Calibri"/>
          <w:iCs/>
          <w:szCs w:val="20"/>
        </w:rPr>
        <w:t>The comprehensive national system for preparation of GHG emission inventories;</w:t>
      </w:r>
    </w:p>
    <w:p w14:paraId="616DA40A" w14:textId="77777777" w:rsidR="00920495" w:rsidRPr="004870C7" w:rsidRDefault="00920495" w:rsidP="0067060B">
      <w:pPr>
        <w:numPr>
          <w:ilvl w:val="1"/>
          <w:numId w:val="29"/>
        </w:numPr>
        <w:spacing w:after="0"/>
        <w:rPr>
          <w:rFonts w:cs="Calibri"/>
          <w:iCs/>
          <w:szCs w:val="20"/>
        </w:rPr>
      </w:pPr>
      <w:r w:rsidRPr="004870C7">
        <w:rPr>
          <w:rFonts w:cs="Calibri"/>
          <w:iCs/>
          <w:szCs w:val="20"/>
        </w:rPr>
        <w:t>The national capacities enhancement for GHG inventory preparation and management;</w:t>
      </w:r>
    </w:p>
    <w:p w14:paraId="463AF198" w14:textId="77777777" w:rsidR="00920495" w:rsidRPr="004870C7" w:rsidRDefault="00920495" w:rsidP="0067060B">
      <w:pPr>
        <w:numPr>
          <w:ilvl w:val="1"/>
          <w:numId w:val="29"/>
        </w:numPr>
        <w:spacing w:after="0"/>
        <w:rPr>
          <w:rFonts w:cs="Calibri"/>
          <w:iCs/>
          <w:szCs w:val="20"/>
        </w:rPr>
      </w:pPr>
      <w:r w:rsidRPr="004870C7">
        <w:rPr>
          <w:rFonts w:cs="Calibri"/>
          <w:iCs/>
          <w:szCs w:val="20"/>
        </w:rPr>
        <w:t>Report on national sectorial inventories for emissions by sources and removal by sinks of all GHGs.</w:t>
      </w:r>
    </w:p>
    <w:p w14:paraId="5E532584" w14:textId="77777777" w:rsidR="00920495" w:rsidRPr="004870C7" w:rsidRDefault="00920495" w:rsidP="0067060B">
      <w:pPr>
        <w:rPr>
          <w:rFonts w:cs="Calibri"/>
          <w:iCs/>
          <w:szCs w:val="20"/>
        </w:rPr>
      </w:pPr>
    </w:p>
    <w:p w14:paraId="36D315DD" w14:textId="6F24C2C7" w:rsidR="00920495" w:rsidRPr="004870C7" w:rsidRDefault="00920495" w:rsidP="0067060B">
      <w:pPr>
        <w:numPr>
          <w:ilvl w:val="0"/>
          <w:numId w:val="33"/>
        </w:numPr>
        <w:spacing w:after="0"/>
        <w:rPr>
          <w:rFonts w:cs="Calibri"/>
          <w:b/>
          <w:bCs/>
          <w:iCs/>
          <w:szCs w:val="20"/>
        </w:rPr>
      </w:pPr>
      <w:r w:rsidRPr="004870C7">
        <w:rPr>
          <w:rFonts w:cs="Calibri"/>
          <w:b/>
          <w:bCs/>
          <w:iCs/>
          <w:szCs w:val="20"/>
        </w:rPr>
        <w:t xml:space="preserve">Track Progress of NDC implementation and </w:t>
      </w:r>
      <w:r w:rsidR="00B56D93" w:rsidRPr="004870C7">
        <w:rPr>
          <w:rFonts w:cs="Calibri"/>
          <w:b/>
          <w:bCs/>
          <w:iCs/>
          <w:szCs w:val="20"/>
        </w:rPr>
        <w:t>a</w:t>
      </w:r>
      <w:r w:rsidRPr="004870C7">
        <w:rPr>
          <w:rFonts w:cs="Calibri"/>
          <w:b/>
          <w:bCs/>
          <w:iCs/>
          <w:szCs w:val="20"/>
        </w:rPr>
        <w:t>chievement and Mitigation Actions</w:t>
      </w:r>
    </w:p>
    <w:p w14:paraId="5AFAA21D" w14:textId="77777777" w:rsidR="00920495" w:rsidRPr="004870C7" w:rsidRDefault="00920495" w:rsidP="0067060B">
      <w:pPr>
        <w:ind w:left="360"/>
        <w:rPr>
          <w:rFonts w:cs="Calibri"/>
          <w:iCs/>
          <w:szCs w:val="20"/>
        </w:rPr>
      </w:pPr>
    </w:p>
    <w:p w14:paraId="5C2A22C7" w14:textId="77777777" w:rsidR="00920495" w:rsidRPr="004870C7" w:rsidRDefault="00920495" w:rsidP="0067060B">
      <w:pPr>
        <w:numPr>
          <w:ilvl w:val="1"/>
          <w:numId w:val="30"/>
        </w:numPr>
        <w:spacing w:after="0"/>
        <w:rPr>
          <w:rFonts w:cs="Calibri"/>
          <w:iCs/>
          <w:szCs w:val="20"/>
        </w:rPr>
      </w:pPr>
      <w:r w:rsidRPr="004870C7">
        <w:rPr>
          <w:rFonts w:cs="Calibri"/>
          <w:iCs/>
          <w:szCs w:val="20"/>
        </w:rPr>
        <w:t>The analysis of policies and measures undertaken by the government to reduce GHG emissions by sector (energy, IPPU, AFOLU and waste) carried out;</w:t>
      </w:r>
    </w:p>
    <w:p w14:paraId="578509E1" w14:textId="77777777" w:rsidR="00920495" w:rsidRPr="004870C7" w:rsidRDefault="00920495" w:rsidP="0067060B">
      <w:pPr>
        <w:numPr>
          <w:ilvl w:val="1"/>
          <w:numId w:val="30"/>
        </w:numPr>
        <w:spacing w:after="0"/>
        <w:rPr>
          <w:rFonts w:cs="Calibri"/>
          <w:iCs/>
          <w:szCs w:val="20"/>
        </w:rPr>
      </w:pPr>
      <w:r w:rsidRPr="004870C7">
        <w:rPr>
          <w:rFonts w:cs="Calibri"/>
          <w:iCs/>
          <w:szCs w:val="20"/>
        </w:rPr>
        <w:t>The projections of greenhouse gas emissions up to 2040 under the Paris Agreement in the main sectors and NDC roadmap 2025-2030 completed;</w:t>
      </w:r>
    </w:p>
    <w:p w14:paraId="25D8D18F" w14:textId="77777777" w:rsidR="00920495" w:rsidRPr="004870C7" w:rsidRDefault="00920495" w:rsidP="0067060B">
      <w:pPr>
        <w:numPr>
          <w:ilvl w:val="1"/>
          <w:numId w:val="30"/>
        </w:numPr>
        <w:spacing w:after="0"/>
        <w:rPr>
          <w:rFonts w:cs="Calibri"/>
          <w:iCs/>
          <w:szCs w:val="20"/>
        </w:rPr>
      </w:pPr>
      <w:r w:rsidRPr="004870C7">
        <w:rPr>
          <w:rFonts w:cs="Calibri"/>
          <w:iCs/>
          <w:szCs w:val="20"/>
        </w:rPr>
        <w:t>System for NDC tracking.</w:t>
      </w:r>
    </w:p>
    <w:p w14:paraId="09EC261B" w14:textId="77777777" w:rsidR="00920495" w:rsidRPr="004870C7" w:rsidRDefault="00920495" w:rsidP="0067060B">
      <w:pPr>
        <w:spacing w:after="0"/>
        <w:ind w:left="360"/>
        <w:rPr>
          <w:rFonts w:cs="Calibri"/>
          <w:iCs/>
          <w:szCs w:val="20"/>
        </w:rPr>
      </w:pPr>
    </w:p>
    <w:p w14:paraId="437E9467" w14:textId="77777777" w:rsidR="00920495" w:rsidRPr="004870C7" w:rsidRDefault="00920495" w:rsidP="0067060B">
      <w:pPr>
        <w:numPr>
          <w:ilvl w:val="0"/>
          <w:numId w:val="33"/>
        </w:numPr>
        <w:spacing w:after="0"/>
        <w:rPr>
          <w:rFonts w:cs="Calibri"/>
          <w:b/>
          <w:bCs/>
          <w:iCs/>
          <w:szCs w:val="20"/>
        </w:rPr>
      </w:pPr>
      <w:r w:rsidRPr="004870C7">
        <w:rPr>
          <w:rFonts w:cs="Calibri"/>
          <w:b/>
          <w:bCs/>
          <w:iCs/>
          <w:szCs w:val="20"/>
        </w:rPr>
        <w:t>Climate change impacts and adaptation</w:t>
      </w:r>
    </w:p>
    <w:p w14:paraId="6A100EE7" w14:textId="77777777" w:rsidR="00920495" w:rsidRPr="004870C7" w:rsidRDefault="00920495" w:rsidP="0067060B">
      <w:pPr>
        <w:spacing w:after="0"/>
        <w:ind w:left="720"/>
        <w:rPr>
          <w:rFonts w:cs="Calibri"/>
          <w:iCs/>
          <w:szCs w:val="20"/>
        </w:rPr>
      </w:pPr>
    </w:p>
    <w:p w14:paraId="0518ABCF" w14:textId="789232CC" w:rsidR="00920495" w:rsidRPr="004870C7" w:rsidRDefault="00920495" w:rsidP="0067060B">
      <w:pPr>
        <w:numPr>
          <w:ilvl w:val="1"/>
          <w:numId w:val="31"/>
        </w:numPr>
        <w:spacing w:after="0"/>
        <w:rPr>
          <w:rFonts w:cs="Calibri"/>
          <w:iCs/>
          <w:szCs w:val="20"/>
        </w:rPr>
      </w:pPr>
      <w:r w:rsidRPr="004870C7">
        <w:rPr>
          <w:rFonts w:cs="Calibri"/>
          <w:iCs/>
          <w:szCs w:val="20"/>
        </w:rPr>
        <w:t>Climate scenarios, socio-economic scenarios</w:t>
      </w:r>
      <w:r w:rsidR="00B34E27" w:rsidRPr="004870C7">
        <w:rPr>
          <w:rFonts w:cs="Calibri"/>
          <w:iCs/>
          <w:szCs w:val="20"/>
        </w:rPr>
        <w:t>,</w:t>
      </w:r>
      <w:r w:rsidRPr="004870C7">
        <w:rPr>
          <w:rFonts w:cs="Calibri"/>
          <w:iCs/>
          <w:szCs w:val="20"/>
        </w:rPr>
        <w:t xml:space="preserve"> climate change vulnerability assessment for priority sectors developed and plans and programmes proposing measures to facilitate adaptation prepared;</w:t>
      </w:r>
    </w:p>
    <w:p w14:paraId="1E83C94B" w14:textId="77777777" w:rsidR="00920495" w:rsidRPr="004870C7" w:rsidRDefault="00920495" w:rsidP="0067060B">
      <w:pPr>
        <w:numPr>
          <w:ilvl w:val="1"/>
          <w:numId w:val="31"/>
        </w:numPr>
        <w:spacing w:after="0"/>
        <w:rPr>
          <w:rFonts w:cs="Calibri"/>
          <w:iCs/>
          <w:szCs w:val="20"/>
        </w:rPr>
      </w:pPr>
      <w:r w:rsidRPr="004870C7">
        <w:rPr>
          <w:rFonts w:cs="Calibri"/>
          <w:iCs/>
          <w:szCs w:val="20"/>
        </w:rPr>
        <w:t>Gender dimension.</w:t>
      </w:r>
    </w:p>
    <w:p w14:paraId="40CDF25A" w14:textId="77777777" w:rsidR="00920495" w:rsidRPr="004870C7" w:rsidRDefault="00920495" w:rsidP="0067060B">
      <w:pPr>
        <w:spacing w:after="0"/>
        <w:ind w:left="360"/>
        <w:rPr>
          <w:rFonts w:cs="Calibri"/>
          <w:iCs/>
          <w:szCs w:val="20"/>
        </w:rPr>
      </w:pPr>
    </w:p>
    <w:p w14:paraId="37D731B3" w14:textId="77777777" w:rsidR="00920495" w:rsidRPr="004870C7" w:rsidRDefault="00920495" w:rsidP="0067060B">
      <w:pPr>
        <w:numPr>
          <w:ilvl w:val="0"/>
          <w:numId w:val="33"/>
        </w:numPr>
        <w:spacing w:after="0"/>
        <w:rPr>
          <w:rFonts w:cs="Calibri"/>
          <w:b/>
          <w:bCs/>
          <w:iCs/>
          <w:szCs w:val="20"/>
        </w:rPr>
      </w:pPr>
      <w:r w:rsidRPr="004870C7">
        <w:rPr>
          <w:rFonts w:cs="Calibri"/>
          <w:b/>
          <w:bCs/>
          <w:iCs/>
          <w:szCs w:val="20"/>
        </w:rPr>
        <w:t>Compilation, publication and submission of the 4NC/1BTR report, Knowledge Management, Monitoring and Evaluation</w:t>
      </w:r>
    </w:p>
    <w:p w14:paraId="559A730C" w14:textId="77777777" w:rsidR="00920495" w:rsidRPr="004870C7" w:rsidRDefault="00920495" w:rsidP="0067060B">
      <w:pPr>
        <w:spacing w:after="0"/>
        <w:ind w:left="720"/>
        <w:rPr>
          <w:rFonts w:cs="Calibri"/>
          <w:iCs/>
          <w:szCs w:val="20"/>
        </w:rPr>
      </w:pPr>
    </w:p>
    <w:p w14:paraId="213C7717" w14:textId="03FD99ED" w:rsidR="00920495" w:rsidRPr="004870C7" w:rsidRDefault="00920495" w:rsidP="0067060B">
      <w:pPr>
        <w:numPr>
          <w:ilvl w:val="1"/>
          <w:numId w:val="32"/>
        </w:numPr>
        <w:spacing w:after="0"/>
        <w:rPr>
          <w:rFonts w:cs="Calibri"/>
          <w:iCs/>
          <w:szCs w:val="20"/>
        </w:rPr>
      </w:pPr>
      <w:r w:rsidRPr="004870C7">
        <w:rPr>
          <w:rFonts w:cs="Calibri"/>
          <w:iCs/>
          <w:szCs w:val="20"/>
        </w:rPr>
        <w:t xml:space="preserve">Compilation and submission of the </w:t>
      </w:r>
      <w:r w:rsidR="00B34E27" w:rsidRPr="004870C7">
        <w:rPr>
          <w:rFonts w:cs="Calibri"/>
          <w:iCs/>
          <w:szCs w:val="20"/>
        </w:rPr>
        <w:t>4</w:t>
      </w:r>
      <w:r w:rsidRPr="004870C7">
        <w:rPr>
          <w:rFonts w:cs="Calibri"/>
          <w:iCs/>
          <w:szCs w:val="20"/>
        </w:rPr>
        <w:t>NC</w:t>
      </w:r>
      <w:r w:rsidR="00B34E27" w:rsidRPr="004870C7">
        <w:rPr>
          <w:rFonts w:cs="Calibri"/>
          <w:iCs/>
          <w:szCs w:val="20"/>
        </w:rPr>
        <w:t>/1BTR</w:t>
      </w:r>
      <w:r w:rsidRPr="004870C7">
        <w:rPr>
          <w:rFonts w:cs="Calibri"/>
          <w:iCs/>
          <w:szCs w:val="20"/>
        </w:rPr>
        <w:t xml:space="preserve"> report;</w:t>
      </w:r>
    </w:p>
    <w:p w14:paraId="27B17E21" w14:textId="77777777" w:rsidR="00920495" w:rsidRPr="004870C7" w:rsidRDefault="00920495" w:rsidP="0067060B">
      <w:pPr>
        <w:numPr>
          <w:ilvl w:val="1"/>
          <w:numId w:val="32"/>
        </w:numPr>
        <w:spacing w:after="0"/>
        <w:rPr>
          <w:rFonts w:cs="Calibri"/>
          <w:iCs/>
          <w:szCs w:val="20"/>
        </w:rPr>
      </w:pPr>
      <w:r w:rsidRPr="004870C7">
        <w:rPr>
          <w:rFonts w:cs="Calibri"/>
          <w:iCs/>
          <w:szCs w:val="20"/>
        </w:rPr>
        <w:t>Knowledge management;</w:t>
      </w:r>
    </w:p>
    <w:p w14:paraId="5F408A7C" w14:textId="77777777" w:rsidR="00920495" w:rsidRPr="004870C7" w:rsidRDefault="00920495" w:rsidP="0067060B">
      <w:pPr>
        <w:numPr>
          <w:ilvl w:val="1"/>
          <w:numId w:val="32"/>
        </w:numPr>
        <w:spacing w:after="0"/>
        <w:rPr>
          <w:rFonts w:cs="Calibri"/>
          <w:iCs/>
          <w:szCs w:val="20"/>
        </w:rPr>
      </w:pPr>
      <w:r w:rsidRPr="004870C7">
        <w:rPr>
          <w:rFonts w:cs="Calibri"/>
          <w:iCs/>
          <w:szCs w:val="20"/>
        </w:rPr>
        <w:lastRenderedPageBreak/>
        <w:t>Monitoring and Evaluation</w:t>
      </w:r>
    </w:p>
    <w:p w14:paraId="3F9E7C2C" w14:textId="77777777" w:rsidR="00920495" w:rsidRPr="004870C7" w:rsidRDefault="00920495" w:rsidP="00920495">
      <w:pPr>
        <w:spacing w:after="0"/>
        <w:jc w:val="left"/>
        <w:rPr>
          <w:bCs/>
          <w:iCs/>
          <w:szCs w:val="20"/>
        </w:rPr>
      </w:pPr>
    </w:p>
    <w:p w14:paraId="3E0E84DE" w14:textId="7EEB8AC0" w:rsidR="00920495" w:rsidRPr="004870C7" w:rsidRDefault="00920495" w:rsidP="00920495">
      <w:pPr>
        <w:spacing w:after="0"/>
        <w:jc w:val="left"/>
        <w:rPr>
          <w:b/>
          <w:iCs/>
          <w:szCs w:val="20"/>
        </w:rPr>
      </w:pPr>
      <w:r w:rsidRPr="004870C7">
        <w:rPr>
          <w:b/>
          <w:iCs/>
          <w:szCs w:val="20"/>
        </w:rPr>
        <w:t xml:space="preserve">Description of project activities: </w:t>
      </w:r>
    </w:p>
    <w:p w14:paraId="4E0C0D2B" w14:textId="77777777" w:rsidR="00920495" w:rsidRPr="004870C7" w:rsidRDefault="00920495" w:rsidP="00920495">
      <w:pPr>
        <w:spacing w:after="0"/>
        <w:jc w:val="left"/>
        <w:rPr>
          <w:bCs/>
          <w:iCs/>
          <w:szCs w:val="20"/>
        </w:rPr>
      </w:pPr>
    </w:p>
    <w:p w14:paraId="3F620044" w14:textId="77777777" w:rsidR="00920495" w:rsidRPr="004870C7" w:rsidRDefault="00920495" w:rsidP="00920495">
      <w:pPr>
        <w:spacing w:after="0"/>
        <w:jc w:val="left"/>
        <w:rPr>
          <w:bCs/>
          <w:iCs/>
          <w:szCs w:val="20"/>
        </w:rPr>
      </w:pPr>
      <w:r w:rsidRPr="004870C7">
        <w:rPr>
          <w:bCs/>
          <w:iCs/>
          <w:szCs w:val="20"/>
        </w:rPr>
        <w:t>1.</w:t>
      </w:r>
      <w:r w:rsidRPr="004870C7">
        <w:rPr>
          <w:bCs/>
          <w:iCs/>
          <w:szCs w:val="20"/>
          <w:u w:val="single"/>
        </w:rPr>
        <w:tab/>
        <w:t>National Circumstances, Institutional Arrangements, Constraints, Gaps and Other Info</w:t>
      </w:r>
    </w:p>
    <w:p w14:paraId="2DB0FBC8" w14:textId="77777777" w:rsidR="00920495" w:rsidRPr="004870C7" w:rsidRDefault="00920495" w:rsidP="00920495">
      <w:pPr>
        <w:spacing w:after="0"/>
        <w:jc w:val="left"/>
        <w:rPr>
          <w:bCs/>
          <w:iCs/>
          <w:szCs w:val="20"/>
        </w:rPr>
      </w:pPr>
    </w:p>
    <w:p w14:paraId="79B801A4" w14:textId="0FCE9FDE" w:rsidR="00920495" w:rsidRPr="004870C7" w:rsidRDefault="00920495" w:rsidP="00DC3097">
      <w:pPr>
        <w:spacing w:after="0"/>
        <w:rPr>
          <w:bCs/>
          <w:iCs/>
          <w:szCs w:val="20"/>
        </w:rPr>
      </w:pPr>
      <w:r w:rsidRPr="004870C7">
        <w:rPr>
          <w:bCs/>
          <w:iCs/>
          <w:szCs w:val="20"/>
        </w:rPr>
        <w:t xml:space="preserve">Information on the national circumstances on natural resources, geography, population, GDP, climate and socio-economic conditions, including effects of the Covid-19 pandemic, affecting mitigation and adaptation capacity of the country will be updated. The national development objectives, specific needs and concerns related to climate change will be analyzed and </w:t>
      </w:r>
      <w:r w:rsidR="00B72A63" w:rsidRPr="004870C7">
        <w:rPr>
          <w:bCs/>
          <w:iCs/>
          <w:szCs w:val="20"/>
        </w:rPr>
        <w:t xml:space="preserve">reported within the National Circumstances Chapter of the 4NC/1BTR. </w:t>
      </w:r>
      <w:r w:rsidRPr="004870C7">
        <w:rPr>
          <w:bCs/>
          <w:iCs/>
          <w:szCs w:val="20"/>
        </w:rPr>
        <w:t xml:space="preserve"> The national priorities, strategy and legislation relevant to climate change will be analyzed, taking into account their status and tendencies. Also, institutional arrangements relevant to the preparation of the 4NC/</w:t>
      </w:r>
      <w:r w:rsidR="000142E1" w:rsidRPr="004870C7">
        <w:rPr>
          <w:bCs/>
          <w:iCs/>
          <w:szCs w:val="20"/>
        </w:rPr>
        <w:t>1</w:t>
      </w:r>
      <w:r w:rsidRPr="004870C7">
        <w:rPr>
          <w:bCs/>
          <w:iCs/>
          <w:szCs w:val="20"/>
        </w:rPr>
        <w:t>BTR will be analyzed and described. Similarly, the mechanism for stakeholder participation in preparation of the 4NC/</w:t>
      </w:r>
      <w:r w:rsidR="000142E1" w:rsidRPr="004870C7">
        <w:rPr>
          <w:bCs/>
          <w:iCs/>
          <w:szCs w:val="20"/>
        </w:rPr>
        <w:t>1</w:t>
      </w:r>
      <w:r w:rsidRPr="004870C7">
        <w:rPr>
          <w:bCs/>
          <w:iCs/>
          <w:szCs w:val="20"/>
        </w:rPr>
        <w:t>BTR will be described. The list of stakeholders, along with the relevant government institutions, will include local administrations, private sector, academia, NGOs. The relevant studies, projects implemented and/or under implementation by the stakeholders and their findings and recommendations will be analyzed.</w:t>
      </w:r>
    </w:p>
    <w:p w14:paraId="2323F68D" w14:textId="77777777" w:rsidR="00920495" w:rsidRPr="004870C7" w:rsidRDefault="00920495" w:rsidP="00DC3097">
      <w:pPr>
        <w:spacing w:after="0"/>
        <w:rPr>
          <w:bCs/>
          <w:iCs/>
          <w:szCs w:val="20"/>
        </w:rPr>
      </w:pPr>
    </w:p>
    <w:p w14:paraId="35B6505F" w14:textId="0F7D3DA0" w:rsidR="00920495" w:rsidRPr="004870C7" w:rsidRDefault="00920495" w:rsidP="00DC3097">
      <w:pPr>
        <w:spacing w:after="0"/>
        <w:rPr>
          <w:bCs/>
          <w:iCs/>
          <w:szCs w:val="20"/>
        </w:rPr>
      </w:pPr>
      <w:r w:rsidRPr="004870C7">
        <w:rPr>
          <w:bCs/>
          <w:iCs/>
          <w:szCs w:val="20"/>
        </w:rPr>
        <w:t xml:space="preserve">The major GHG emitting sectors and those that are the most vulnerable to climate change will be analyzed. In addition, integrating climate change and energy policy will be added. During the data collection, the most updated information will be actively sought and </w:t>
      </w:r>
      <w:r w:rsidR="001E1220" w:rsidRPr="004870C7">
        <w:rPr>
          <w:bCs/>
          <w:iCs/>
          <w:szCs w:val="20"/>
        </w:rPr>
        <w:t>reported within this Chapter of the 4NC/1BTR</w:t>
      </w:r>
      <w:r w:rsidRPr="004870C7">
        <w:rPr>
          <w:bCs/>
          <w:iCs/>
          <w:szCs w:val="20"/>
        </w:rPr>
        <w:t>.</w:t>
      </w:r>
    </w:p>
    <w:p w14:paraId="2E361B7D" w14:textId="77777777" w:rsidR="00920495" w:rsidRPr="004870C7" w:rsidRDefault="00920495" w:rsidP="00DC3097">
      <w:pPr>
        <w:spacing w:after="0"/>
        <w:rPr>
          <w:bCs/>
          <w:iCs/>
          <w:szCs w:val="20"/>
        </w:rPr>
      </w:pPr>
    </w:p>
    <w:p w14:paraId="6CC94F1E" w14:textId="52B1E30A" w:rsidR="00920495" w:rsidRPr="004870C7" w:rsidRDefault="00920495" w:rsidP="00DC3097">
      <w:pPr>
        <w:spacing w:after="0"/>
        <w:rPr>
          <w:bCs/>
          <w:iCs/>
          <w:szCs w:val="20"/>
        </w:rPr>
      </w:pPr>
      <w:r w:rsidRPr="004870C7">
        <w:rPr>
          <w:bCs/>
          <w:iCs/>
          <w:szCs w:val="20"/>
        </w:rPr>
        <w:t xml:space="preserve">Special attention will be given to description of NDC. The description of NDC will include information on the target, target type, reference points and period of implementation, the target’s scope and coverage (e.g. sectors, categories, activities, sources and sinks, pools and gases). </w:t>
      </w:r>
    </w:p>
    <w:p w14:paraId="01ED2165" w14:textId="77777777" w:rsidR="00920495" w:rsidRPr="004870C7" w:rsidRDefault="00920495" w:rsidP="00DC3097">
      <w:pPr>
        <w:spacing w:after="0"/>
        <w:rPr>
          <w:bCs/>
          <w:iCs/>
          <w:szCs w:val="20"/>
        </w:rPr>
      </w:pPr>
    </w:p>
    <w:p w14:paraId="0126DDF6" w14:textId="1FB8BE45" w:rsidR="00920495" w:rsidRPr="004870C7" w:rsidRDefault="00920495" w:rsidP="00DC3097">
      <w:pPr>
        <w:spacing w:after="0"/>
        <w:rPr>
          <w:bCs/>
          <w:iCs/>
          <w:szCs w:val="20"/>
        </w:rPr>
      </w:pPr>
      <w:r w:rsidRPr="004870C7">
        <w:rPr>
          <w:bCs/>
          <w:iCs/>
          <w:szCs w:val="20"/>
        </w:rPr>
        <w:t xml:space="preserve">The attention will also be given to the detailed gender analyses as well as collection and analysis of gender data in relation to climate change. For this reason, special training will be provided to the MONSTAT employees, dealing with gender data, in order for them to better collect gender data, process and disaggregate them for the purpose of the gender </w:t>
      </w:r>
      <w:r w:rsidR="00F118BD" w:rsidRPr="004870C7">
        <w:rPr>
          <w:bCs/>
          <w:iCs/>
          <w:szCs w:val="20"/>
        </w:rPr>
        <w:t>analysis</w:t>
      </w:r>
      <w:r w:rsidRPr="004870C7">
        <w:rPr>
          <w:bCs/>
          <w:iCs/>
          <w:szCs w:val="20"/>
        </w:rPr>
        <w:t xml:space="preserve">, the </w:t>
      </w:r>
      <w:r w:rsidR="000142E1" w:rsidRPr="004870C7">
        <w:rPr>
          <w:bCs/>
          <w:iCs/>
          <w:szCs w:val="20"/>
        </w:rPr>
        <w:t>analyses prepared under the specific chapters of the</w:t>
      </w:r>
      <w:r w:rsidRPr="004870C7">
        <w:rPr>
          <w:bCs/>
          <w:iCs/>
          <w:szCs w:val="20"/>
        </w:rPr>
        <w:t xml:space="preserve"> 4NC/1BTR and further reports. Gender disaggregated data will be collected and reported with special attention given to measures undertaken in the past to ease the impact of the climate change on women and helping them to adapt to it, especially in sectors in which women are especially involved, like health.</w:t>
      </w:r>
    </w:p>
    <w:p w14:paraId="4B1DD7AC" w14:textId="77777777" w:rsidR="00920495" w:rsidRPr="004870C7" w:rsidRDefault="00920495" w:rsidP="00DC3097">
      <w:pPr>
        <w:spacing w:after="0"/>
        <w:rPr>
          <w:bCs/>
          <w:iCs/>
          <w:szCs w:val="20"/>
        </w:rPr>
      </w:pPr>
    </w:p>
    <w:p w14:paraId="52E7BFE3" w14:textId="26EA6F5A" w:rsidR="00920495" w:rsidRPr="004870C7" w:rsidRDefault="00920495" w:rsidP="00DC3097">
      <w:pPr>
        <w:spacing w:after="0"/>
        <w:rPr>
          <w:bCs/>
          <w:iCs/>
          <w:szCs w:val="20"/>
        </w:rPr>
      </w:pPr>
      <w:r w:rsidRPr="004870C7">
        <w:rPr>
          <w:bCs/>
          <w:iCs/>
          <w:szCs w:val="20"/>
        </w:rPr>
        <w:t>Finally, information on financial resources, technology transfer, capacity building and technical support received from bilateral and multilateral donors, needs/constraints for mitigation and adaptation actions associated with the fulfilment of the national obligations under the UNFCCC will be assessed, supplemented with information to reflect on education and public awareness activities as well as involvement and mechanism for stakeholder participation to enable the national communications preparation. The study of financial, technological and capacity needs and constraints of institutions responsible for activities related to climate change will be updated through the collection, synthesis and analysis of existing information, individual or group discussions and stakeholder consultations. Information on financial resources, technology transfer, capacity building and technical support received from bilateral and multilateral donors and voluntarily provided to non-Annex I countries for activities related to climate change will be collected and updated. The progress in the field of climate system studies, model</w:t>
      </w:r>
      <w:r w:rsidR="001E1220" w:rsidRPr="004870C7">
        <w:rPr>
          <w:bCs/>
          <w:iCs/>
          <w:szCs w:val="20"/>
        </w:rPr>
        <w:t>l</w:t>
      </w:r>
      <w:r w:rsidRPr="004870C7">
        <w:rPr>
          <w:bCs/>
          <w:iCs/>
          <w:szCs w:val="20"/>
        </w:rPr>
        <w:t xml:space="preserve">ing and prediction studies, researches on the impacts of the climate change, socio-economic analysis studies will be reported. Academic research and observations conducted by relevant institutions, institutes and universities will be compiled, reviewed and additional analysis will be carried out on the needed </w:t>
      </w:r>
      <w:r w:rsidR="00A901C0" w:rsidRPr="004870C7">
        <w:rPr>
          <w:bCs/>
          <w:iCs/>
          <w:szCs w:val="20"/>
        </w:rPr>
        <w:t xml:space="preserve">of </w:t>
      </w:r>
      <w:r w:rsidRPr="004870C7">
        <w:rPr>
          <w:bCs/>
          <w:iCs/>
          <w:szCs w:val="20"/>
        </w:rPr>
        <w:t xml:space="preserve">scientific research, if required. Education and training projects, public awareness activities, means of public access to information and public participation (ensuring engagement of local governments, private sector, non-governmental organisations) and international cooperation in the field </w:t>
      </w:r>
      <w:r w:rsidR="00A901C0" w:rsidRPr="004870C7">
        <w:rPr>
          <w:bCs/>
          <w:iCs/>
          <w:szCs w:val="20"/>
        </w:rPr>
        <w:t xml:space="preserve">of climate change. </w:t>
      </w:r>
      <w:r w:rsidRPr="004870C7">
        <w:rPr>
          <w:bCs/>
          <w:iCs/>
          <w:szCs w:val="20"/>
        </w:rPr>
        <w:t xml:space="preserve">will be explained with specific references to the achieved outcomes. </w:t>
      </w:r>
    </w:p>
    <w:p w14:paraId="1FB94F78" w14:textId="77777777" w:rsidR="00920495" w:rsidRPr="004870C7" w:rsidRDefault="00920495" w:rsidP="00920495">
      <w:pPr>
        <w:spacing w:after="0"/>
        <w:jc w:val="left"/>
        <w:rPr>
          <w:bCs/>
          <w:iCs/>
          <w:szCs w:val="20"/>
        </w:rPr>
      </w:pPr>
    </w:p>
    <w:p w14:paraId="232A6691" w14:textId="34EC7ADF" w:rsidR="00920495" w:rsidRPr="004870C7" w:rsidRDefault="00920495" w:rsidP="00DC3097">
      <w:pPr>
        <w:spacing w:after="0"/>
        <w:rPr>
          <w:bCs/>
          <w:iCs/>
          <w:szCs w:val="20"/>
        </w:rPr>
      </w:pPr>
      <w:r w:rsidRPr="004870C7">
        <w:rPr>
          <w:bCs/>
          <w:iCs/>
          <w:szCs w:val="20"/>
        </w:rPr>
        <w:t>Summarizing, all the thematic and sectoral components that define the National Circumstances, Institutional Arrangements, Description of NDC, Constraints, Gaps and Other relevant Information will be updated and revised for their inclusion in the 4NC/</w:t>
      </w:r>
      <w:r w:rsidR="00DC3097" w:rsidRPr="004870C7">
        <w:rPr>
          <w:bCs/>
          <w:iCs/>
          <w:szCs w:val="20"/>
        </w:rPr>
        <w:t>1</w:t>
      </w:r>
      <w:r w:rsidRPr="004870C7">
        <w:rPr>
          <w:bCs/>
          <w:iCs/>
          <w:szCs w:val="20"/>
        </w:rPr>
        <w:t>BTR.</w:t>
      </w:r>
    </w:p>
    <w:p w14:paraId="2CAD9674" w14:textId="77777777" w:rsidR="00920495" w:rsidRPr="004870C7" w:rsidRDefault="00920495" w:rsidP="00920495">
      <w:pPr>
        <w:spacing w:after="0"/>
        <w:jc w:val="left"/>
        <w:rPr>
          <w:bCs/>
          <w:iCs/>
          <w:szCs w:val="20"/>
        </w:rPr>
      </w:pPr>
    </w:p>
    <w:p w14:paraId="1A71A873" w14:textId="77777777" w:rsidR="00920495" w:rsidRPr="004870C7" w:rsidRDefault="00920495" w:rsidP="00920495">
      <w:pPr>
        <w:spacing w:after="0"/>
        <w:jc w:val="left"/>
        <w:rPr>
          <w:bCs/>
          <w:iCs/>
          <w:szCs w:val="20"/>
          <w:u w:val="single"/>
        </w:rPr>
      </w:pPr>
      <w:r w:rsidRPr="004870C7">
        <w:rPr>
          <w:bCs/>
          <w:iCs/>
          <w:szCs w:val="20"/>
          <w:u w:val="single"/>
        </w:rPr>
        <w:t>2.</w:t>
      </w:r>
      <w:r w:rsidRPr="004870C7">
        <w:rPr>
          <w:bCs/>
          <w:iCs/>
          <w:szCs w:val="20"/>
          <w:u w:val="single"/>
        </w:rPr>
        <w:tab/>
        <w:t>GHG inventory</w:t>
      </w:r>
    </w:p>
    <w:p w14:paraId="1558021F" w14:textId="77777777" w:rsidR="00920495" w:rsidRPr="004870C7" w:rsidRDefault="00920495" w:rsidP="00920495">
      <w:pPr>
        <w:spacing w:after="0"/>
        <w:jc w:val="left"/>
        <w:rPr>
          <w:bCs/>
          <w:iCs/>
          <w:szCs w:val="20"/>
        </w:rPr>
      </w:pPr>
    </w:p>
    <w:p w14:paraId="6C561788" w14:textId="77777777" w:rsidR="00920495" w:rsidRPr="004870C7" w:rsidRDefault="00920495" w:rsidP="00DC3097">
      <w:pPr>
        <w:spacing w:after="0"/>
        <w:rPr>
          <w:bCs/>
          <w:iCs/>
          <w:szCs w:val="20"/>
        </w:rPr>
      </w:pPr>
      <w:r w:rsidRPr="004870C7">
        <w:rPr>
          <w:bCs/>
          <w:iCs/>
          <w:szCs w:val="20"/>
        </w:rPr>
        <w:t>Under the previous national reports, compilation of full series of GHG inventories for the period 1990-2017 have been prepared, using 2006 IPCC Guidelines. The key sectors of GHG emissions are energy, IPPU, AFOLU and waste. High priority sectors for CC mitigation and adaptation are energy and AFOLU.</w:t>
      </w:r>
    </w:p>
    <w:p w14:paraId="3DD1A60E" w14:textId="77777777" w:rsidR="00920495" w:rsidRPr="004870C7" w:rsidRDefault="00920495" w:rsidP="00DC3097">
      <w:pPr>
        <w:spacing w:after="0"/>
        <w:rPr>
          <w:bCs/>
          <w:iCs/>
          <w:szCs w:val="20"/>
        </w:rPr>
      </w:pPr>
    </w:p>
    <w:p w14:paraId="2EDC456C" w14:textId="12D6970E" w:rsidR="00920495" w:rsidRPr="004870C7" w:rsidRDefault="00920495" w:rsidP="00DC3097">
      <w:pPr>
        <w:spacing w:after="0"/>
        <w:rPr>
          <w:bCs/>
          <w:iCs/>
          <w:szCs w:val="20"/>
        </w:rPr>
      </w:pPr>
      <w:r w:rsidRPr="004870C7">
        <w:rPr>
          <w:bCs/>
          <w:iCs/>
          <w:szCs w:val="20"/>
        </w:rPr>
        <w:t>In the 4NC/1BTR the whole series of GHG inventories will be recalculated and also GHG inventories for 2020-2022 will be developed. For the purpose of the updated GHG inventory calculation, 2006 IPCC Guidelines will be used</w:t>
      </w:r>
      <w:r w:rsidR="00F105FD" w:rsidRPr="004870C7">
        <w:rPr>
          <w:rFonts w:ascii="Times New Roman" w:eastAsia="Times New Roman" w:hAnsi="Times New Roman"/>
          <w:color w:val="000000"/>
          <w:sz w:val="22"/>
          <w:szCs w:val="22"/>
          <w:lang w:eastAsia="es-UY"/>
        </w:rPr>
        <w:t xml:space="preserve"> </w:t>
      </w:r>
      <w:r w:rsidR="00F105FD" w:rsidRPr="004870C7">
        <w:rPr>
          <w:bCs/>
          <w:iCs/>
          <w:szCs w:val="20"/>
        </w:rPr>
        <w:t>along with the 2019 Refinement to the 2006 IPCC Guidelines to the extent possible.</w:t>
      </w:r>
      <w:r w:rsidRPr="004870C7">
        <w:rPr>
          <w:bCs/>
          <w:iCs/>
          <w:szCs w:val="20"/>
        </w:rPr>
        <w:t xml:space="preserve"> The key sectors of GHG emissions will be energy, IPPU, AFOLU and waste. Country specific emission factors for the key source categories that contribute more than 95% to the total GHG emissions of the inventory shall be updated, thus adding value to the quality of the national greenhouse gas inventory, as well as the national grid emission factor (GEF), due to many new renewable investments in electricity generation capacities. The Quality Assurance &amp; Quality Control (QA/QC) procedures shall be enhanced through formalized process and improved QA/QC plan, already established in the country by recently adopted Law on Protection Against Adverse Impacts of Climate Change, along with reviews from the WGCCMA and relevant national institutions. AFOLU and waste sector should be particularly improved, both through the new activity data and sub-categories, with external expert support, strengthening local capacities for GHG calculations in these sectors.</w:t>
      </w:r>
    </w:p>
    <w:p w14:paraId="53600E02" w14:textId="77777777" w:rsidR="00920495" w:rsidRPr="004870C7" w:rsidRDefault="00920495" w:rsidP="00DC3097">
      <w:pPr>
        <w:spacing w:after="0"/>
        <w:rPr>
          <w:bCs/>
          <w:iCs/>
          <w:szCs w:val="20"/>
        </w:rPr>
      </w:pPr>
    </w:p>
    <w:p w14:paraId="27065166" w14:textId="0ABE8D97" w:rsidR="00920495" w:rsidRPr="004870C7" w:rsidRDefault="00920495" w:rsidP="00DC3097">
      <w:pPr>
        <w:spacing w:after="0"/>
        <w:rPr>
          <w:bCs/>
          <w:iCs/>
          <w:szCs w:val="20"/>
        </w:rPr>
      </w:pPr>
      <w:r w:rsidRPr="004870C7">
        <w:rPr>
          <w:bCs/>
          <w:iCs/>
          <w:szCs w:val="20"/>
        </w:rPr>
        <w:t>Further enhance and strengthen the institutional arrangements to ensure a robust national inventory system that is effective and efficient and is able to deliver in accordance with the decision 1/CP.16</w:t>
      </w:r>
      <w:r w:rsidR="00A901C0" w:rsidRPr="004870C7">
        <w:rPr>
          <w:bCs/>
          <w:iCs/>
          <w:szCs w:val="20"/>
        </w:rPr>
        <w:t>,</w:t>
      </w:r>
      <w:r w:rsidRPr="004870C7">
        <w:rPr>
          <w:bCs/>
          <w:iCs/>
          <w:szCs w:val="20"/>
        </w:rPr>
        <w:t>2/CP.17</w:t>
      </w:r>
      <w:r w:rsidR="00A901C0" w:rsidRPr="004870C7">
        <w:rPr>
          <w:bCs/>
          <w:iCs/>
          <w:szCs w:val="20"/>
        </w:rPr>
        <w:t xml:space="preserve"> and 18/CMA.1</w:t>
      </w:r>
      <w:r w:rsidRPr="004870C7">
        <w:rPr>
          <w:bCs/>
          <w:iCs/>
          <w:szCs w:val="20"/>
        </w:rPr>
        <w:t>. It is envisaged that the enhanced institutional arrangement will be responsive to future GHG reporting requirement including reviews and verifications. The improved GHG inventory is achievable through the customized trainings and technical support work that will be delivered to institutions in charge of data generating and data processing within the Enhanced Transparency Framework under the PA. The progressive improvements in the GHG inventory national system are critical for the continuous, effective and timely generation of GHG inventory estimates for both international and national decision-making. Therefore, significant amounts of the 4NC/1BTR resources would be committed to improving the overall capability of the national system. Proper institutional coordination mechanism will be put in place and supported by continuous education and enhancing the expertise of the key staff that are involved in the inventory process.</w:t>
      </w:r>
    </w:p>
    <w:p w14:paraId="386D7465" w14:textId="77777777" w:rsidR="00920495" w:rsidRPr="004870C7" w:rsidRDefault="00920495" w:rsidP="00DC3097">
      <w:pPr>
        <w:spacing w:after="0"/>
        <w:rPr>
          <w:bCs/>
          <w:iCs/>
          <w:szCs w:val="20"/>
        </w:rPr>
      </w:pPr>
    </w:p>
    <w:p w14:paraId="5A172553" w14:textId="77777777" w:rsidR="00920495" w:rsidRPr="004870C7" w:rsidRDefault="00920495" w:rsidP="00DC3097">
      <w:pPr>
        <w:spacing w:after="0"/>
        <w:rPr>
          <w:bCs/>
          <w:iCs/>
          <w:szCs w:val="20"/>
        </w:rPr>
      </w:pPr>
      <w:r w:rsidRPr="004870C7">
        <w:rPr>
          <w:bCs/>
          <w:iCs/>
          <w:szCs w:val="20"/>
        </w:rPr>
        <w:t>Aside realignment of institutions involved in the GHG preparation, enough clarity will also be provided on the operational modalities and procedures needed to make the national system more efficient and permanent. Various stakeholders and partner institutions will dedicate more time to the inventory process on sustainable basis as well as make efforts to maintain and retain capacities within the institutions. The resources will also be invested in start-up data management infrastructure, software and operations, coupled with seamless access and upgrade capabilities.</w:t>
      </w:r>
    </w:p>
    <w:p w14:paraId="44FFCACD" w14:textId="77777777" w:rsidR="00920495" w:rsidRPr="004870C7" w:rsidRDefault="00920495" w:rsidP="00920495">
      <w:pPr>
        <w:spacing w:after="0"/>
        <w:jc w:val="left"/>
        <w:rPr>
          <w:bCs/>
          <w:iCs/>
          <w:szCs w:val="20"/>
        </w:rPr>
      </w:pPr>
    </w:p>
    <w:p w14:paraId="2413F8A9" w14:textId="77777777" w:rsidR="00920495" w:rsidRPr="004870C7" w:rsidRDefault="00920495" w:rsidP="00DC3097">
      <w:pPr>
        <w:spacing w:after="0"/>
        <w:rPr>
          <w:bCs/>
          <w:iCs/>
          <w:szCs w:val="20"/>
        </w:rPr>
      </w:pPr>
      <w:r w:rsidRPr="004870C7">
        <w:rPr>
          <w:bCs/>
          <w:iCs/>
          <w:szCs w:val="20"/>
        </w:rPr>
        <w:t>The overall improvements in the GHG inventory are important to producing high quality estimates. The improvements are intended to come about as a result of implementing the clear procedures, to define and allocate specific responsibilities in the inventory development process, including those relating to choice of methods, data collection, particularly activity data and emission factors from statistical services and other entities, processing and archiving, quality control and quality assurance. By implementing QA/QC, the minimum standards of the inventory process and estimates will be guaranteed.</w:t>
      </w:r>
    </w:p>
    <w:p w14:paraId="2D372B3C" w14:textId="77777777" w:rsidR="00920495" w:rsidRPr="004870C7" w:rsidRDefault="00920495" w:rsidP="00DC3097">
      <w:pPr>
        <w:spacing w:after="0"/>
        <w:rPr>
          <w:bCs/>
          <w:iCs/>
          <w:szCs w:val="20"/>
        </w:rPr>
      </w:pPr>
    </w:p>
    <w:p w14:paraId="38826D58" w14:textId="77777777" w:rsidR="00920495" w:rsidRPr="004870C7" w:rsidRDefault="00920495" w:rsidP="00DC3097">
      <w:pPr>
        <w:spacing w:after="0"/>
        <w:rPr>
          <w:bCs/>
          <w:iCs/>
          <w:szCs w:val="20"/>
        </w:rPr>
      </w:pPr>
      <w:r w:rsidRPr="004870C7">
        <w:rPr>
          <w:bCs/>
          <w:iCs/>
          <w:szCs w:val="20"/>
        </w:rPr>
        <w:t xml:space="preserve">As much as possible, the existing GHG inventory database covering all the major sectors will be reviewed and updated with new data (activity data national emission factors and grid emission factor). This is to ensure that estimates are produced using methodologies and datasets that are transparent, robust and consistent with IPCC guidelines, with introduction of Tier II to the extent possible. The extension of the AFOLU and waste sectors are particularly necessary, in accordance with the UNFCCC peer review recommendations and conclusions. </w:t>
      </w:r>
    </w:p>
    <w:p w14:paraId="7EA9ACEB" w14:textId="77777777" w:rsidR="00920495" w:rsidRPr="004870C7" w:rsidRDefault="00920495" w:rsidP="00920495">
      <w:pPr>
        <w:spacing w:after="0"/>
        <w:jc w:val="left"/>
        <w:rPr>
          <w:bCs/>
          <w:iCs/>
          <w:szCs w:val="20"/>
        </w:rPr>
      </w:pPr>
    </w:p>
    <w:p w14:paraId="4E5BBF69" w14:textId="6F328BE9" w:rsidR="00920495" w:rsidRPr="004870C7" w:rsidRDefault="00920495" w:rsidP="00DC3097">
      <w:pPr>
        <w:spacing w:after="0"/>
        <w:rPr>
          <w:bCs/>
          <w:iCs/>
          <w:szCs w:val="20"/>
        </w:rPr>
      </w:pPr>
      <w:r w:rsidRPr="004870C7">
        <w:rPr>
          <w:bCs/>
          <w:iCs/>
          <w:szCs w:val="20"/>
        </w:rPr>
        <w:lastRenderedPageBreak/>
        <w:t>During the 4NC/</w:t>
      </w:r>
      <w:r w:rsidR="00DC3097" w:rsidRPr="004870C7">
        <w:rPr>
          <w:bCs/>
          <w:iCs/>
          <w:szCs w:val="20"/>
        </w:rPr>
        <w:t>1</w:t>
      </w:r>
      <w:r w:rsidRPr="004870C7">
        <w:rPr>
          <w:bCs/>
          <w:iCs/>
          <w:szCs w:val="20"/>
        </w:rPr>
        <w:t>BTR preparation, input data from the previous GHG inventory will be revised and recalculated to better reflect any changes. GHG emissions by sources and removals by sinks up to 2022 will be completed and the uncertainties encountered in the previous inventory will be reduced.</w:t>
      </w:r>
    </w:p>
    <w:p w14:paraId="30CB0BB8" w14:textId="77777777" w:rsidR="00920495" w:rsidRPr="004870C7" w:rsidRDefault="00920495" w:rsidP="00DC3097">
      <w:pPr>
        <w:spacing w:after="0"/>
        <w:rPr>
          <w:bCs/>
          <w:iCs/>
          <w:szCs w:val="20"/>
        </w:rPr>
      </w:pPr>
    </w:p>
    <w:p w14:paraId="788D4CE2" w14:textId="77777777" w:rsidR="00920495" w:rsidRPr="004870C7" w:rsidRDefault="00920495" w:rsidP="00DC3097">
      <w:pPr>
        <w:spacing w:after="0"/>
        <w:rPr>
          <w:bCs/>
          <w:iCs/>
          <w:szCs w:val="20"/>
        </w:rPr>
      </w:pPr>
      <w:r w:rsidRPr="004870C7">
        <w:rPr>
          <w:bCs/>
          <w:iCs/>
          <w:szCs w:val="20"/>
        </w:rPr>
        <w:t xml:space="preserve">The following methodological materials will be used: IPCC 2006 Guidelines; 2019 Refinement to the 2006 IPCC Guidelines for National Greenhouse Gas Inventories; the IPCC Good Practice Guidance and Uncertainty Management in National Greenhouse Gas Inventories; IPCC Good Practice Guidance on Land Use, Land-Use Change and Forestry. The Common Reporting Format (CRF) – 2006 GHG inventory software and Inventory sectorial tables according to the 2006 IPCC Guidelines for reporting of inventory results will be used. </w:t>
      </w:r>
    </w:p>
    <w:p w14:paraId="5FCB7F66" w14:textId="77777777" w:rsidR="00920495" w:rsidRPr="004870C7" w:rsidRDefault="00920495" w:rsidP="00DC3097">
      <w:pPr>
        <w:spacing w:after="0"/>
        <w:rPr>
          <w:bCs/>
          <w:iCs/>
          <w:szCs w:val="20"/>
        </w:rPr>
      </w:pPr>
    </w:p>
    <w:p w14:paraId="1CE34B4A" w14:textId="77777777" w:rsidR="00920495" w:rsidRPr="004870C7" w:rsidRDefault="00920495" w:rsidP="00DC3097">
      <w:pPr>
        <w:spacing w:after="0"/>
        <w:rPr>
          <w:bCs/>
          <w:iCs/>
          <w:szCs w:val="20"/>
        </w:rPr>
      </w:pPr>
      <w:r w:rsidRPr="004870C7">
        <w:rPr>
          <w:bCs/>
          <w:iCs/>
          <w:szCs w:val="20"/>
        </w:rPr>
        <w:t>To sustain the GHG inventory working group, training opportunities will be created. The capacity building outputs of the project will be used to institutionalize the inventory process in the work of the relevant agencies and ministries. It is envisaged that this approach will promote ownership and participation among relevant agencies and will sustain the inventory process for Montenegro.</w:t>
      </w:r>
    </w:p>
    <w:p w14:paraId="56CC2A8D" w14:textId="77777777" w:rsidR="00920495" w:rsidRPr="004870C7" w:rsidRDefault="00920495" w:rsidP="00DC3097">
      <w:pPr>
        <w:spacing w:after="0"/>
        <w:rPr>
          <w:bCs/>
          <w:iCs/>
          <w:szCs w:val="20"/>
        </w:rPr>
      </w:pPr>
    </w:p>
    <w:p w14:paraId="718946CD" w14:textId="77777777" w:rsidR="00920495" w:rsidRPr="004870C7" w:rsidRDefault="00920495" w:rsidP="00DC3097">
      <w:pPr>
        <w:spacing w:after="0"/>
        <w:rPr>
          <w:bCs/>
          <w:iCs/>
          <w:szCs w:val="20"/>
        </w:rPr>
      </w:pPr>
      <w:r w:rsidRPr="004870C7">
        <w:rPr>
          <w:bCs/>
          <w:iCs/>
          <w:szCs w:val="20"/>
        </w:rPr>
        <w:t>The NIR and GHG inventory represent an important part of the climate mitigation planning. It is expected to provide accurate baselines for the development of emission reduction interventions. Apart from providing the basis for designing mitigation analysis, GHG inventory would also be reliable monitoring indicator for tracking nationally determined contribution as well as assessing the effects of mitigation actions on emissions and other co-benefits. To make the emission relevant for climate mitigation action and planning, efforts would be made to produce the latest estimates within reasonable time series and to the extent possible, project the emission scenarios within a specified time horizon.</w:t>
      </w:r>
    </w:p>
    <w:p w14:paraId="3A6E0FAC" w14:textId="77777777" w:rsidR="00920495" w:rsidRPr="004870C7" w:rsidRDefault="00920495" w:rsidP="00DC3097">
      <w:pPr>
        <w:spacing w:after="0"/>
        <w:rPr>
          <w:bCs/>
          <w:iCs/>
          <w:szCs w:val="20"/>
        </w:rPr>
      </w:pPr>
    </w:p>
    <w:p w14:paraId="2B5C1439" w14:textId="77777777" w:rsidR="00920495" w:rsidRPr="004870C7" w:rsidRDefault="00920495" w:rsidP="00B34E27">
      <w:pPr>
        <w:spacing w:after="120"/>
        <w:rPr>
          <w:bCs/>
          <w:iCs/>
          <w:szCs w:val="20"/>
        </w:rPr>
      </w:pPr>
      <w:r w:rsidRPr="004870C7">
        <w:rPr>
          <w:bCs/>
          <w:iCs/>
          <w:szCs w:val="20"/>
        </w:rPr>
        <w:t>The process of GHG inventory preparation will comprise of the following:</w:t>
      </w:r>
    </w:p>
    <w:p w14:paraId="0680A747" w14:textId="5E675C82"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Description of the national system for GHG inventory, incl. procedures and arrangements for activity data collection, processing, storage, accuracy, completeness and gaps, as well as role of institutions involved in preparation of GHG inventory;</w:t>
      </w:r>
    </w:p>
    <w:p w14:paraId="109DF6BC" w14:textId="5D3D9044"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Improvement of AFOLU and waste sector activity database and identification of new sub-categories into GHG inventory;</w:t>
      </w:r>
    </w:p>
    <w:p w14:paraId="170F36A8" w14:textId="58EC8D28"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Reassessment of national emission factors (EFs) for key source categories and electricity grid emission factor (GEF) and GHG emissions recalculation based on EFs adjustments;</w:t>
      </w:r>
    </w:p>
    <w:p w14:paraId="3DB092E3" w14:textId="528DB3DA"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Improvement of the Quality Assurance and Quality Control plan and formalisation of the QA/QC process;</w:t>
      </w:r>
    </w:p>
    <w:p w14:paraId="39FFEFB9" w14:textId="5A9ADA3F"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Preparation of the national GHG inventory for the sectors: energy, IPPU, AFOLU and waste in accordance with 2006 IPCC Guidelines, 2019 Refinement to the 2006 IPCC Guidelines for National Greenhouse Gas Inventories and 2003 GHG-LULUCF Guidelines, using IPCC software, with introduction of Tier II or Tier III to the extent possible for the years 2020-2022;</w:t>
      </w:r>
    </w:p>
    <w:p w14:paraId="2A9C5D35" w14:textId="1900DBE9"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Use of GWP for GHGs from the IPCC Fifth Assessment Report (5AR IPCC);</w:t>
      </w:r>
    </w:p>
    <w:p w14:paraId="4BB07B4B" w14:textId="3352BE10"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Conduction of the uncertainty analysis and analysis of the key source categories’ GHG emissions;</w:t>
      </w:r>
    </w:p>
    <w:p w14:paraId="4C76B932" w14:textId="3B2F149D"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Establishment of the link to The Convention on Long-Range Transboundary Air Pollution – CLRTAP (EEA/EMEP) inventory;</w:t>
      </w:r>
    </w:p>
    <w:p w14:paraId="01ABA1EA" w14:textId="78628E22"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Production of the national inventory report (NIR) as a summary or as an update of the information contained in chapter III (National greenhouse gas inventories) of the annex to decision 17/CP.8.;</w:t>
      </w:r>
    </w:p>
    <w:p w14:paraId="306F2CF4" w14:textId="526C63FF" w:rsidR="00920495" w:rsidRPr="004870C7" w:rsidRDefault="00920495" w:rsidP="00B34E27">
      <w:pPr>
        <w:pStyle w:val="ListParagraph"/>
        <w:numPr>
          <w:ilvl w:val="1"/>
          <w:numId w:val="33"/>
        </w:numPr>
        <w:ind w:left="567" w:hanging="425"/>
        <w:jc w:val="both"/>
        <w:rPr>
          <w:rFonts w:asciiTheme="minorHAnsi" w:hAnsiTheme="minorHAnsi" w:cstheme="minorHAnsi"/>
          <w:bCs/>
          <w:iCs/>
          <w:sz w:val="20"/>
          <w:szCs w:val="20"/>
        </w:rPr>
      </w:pPr>
      <w:r w:rsidRPr="004870C7">
        <w:rPr>
          <w:rFonts w:asciiTheme="minorHAnsi" w:hAnsiTheme="minorHAnsi" w:cstheme="minorHAnsi"/>
          <w:bCs/>
          <w:iCs/>
          <w:sz w:val="20"/>
          <w:szCs w:val="20"/>
        </w:rPr>
        <w:t>Revision of the constraints facing GHG inventories per sectors.</w:t>
      </w:r>
    </w:p>
    <w:p w14:paraId="341C6728" w14:textId="77777777" w:rsidR="00920495" w:rsidRPr="004870C7" w:rsidRDefault="00920495" w:rsidP="00920495">
      <w:pPr>
        <w:spacing w:after="0"/>
        <w:jc w:val="left"/>
        <w:rPr>
          <w:bCs/>
          <w:iCs/>
          <w:szCs w:val="20"/>
        </w:rPr>
      </w:pPr>
    </w:p>
    <w:p w14:paraId="40AE4432" w14:textId="77777777" w:rsidR="00920495" w:rsidRPr="004870C7" w:rsidRDefault="00920495" w:rsidP="00920495">
      <w:pPr>
        <w:spacing w:after="0"/>
        <w:jc w:val="left"/>
        <w:rPr>
          <w:bCs/>
          <w:iCs/>
          <w:szCs w:val="20"/>
        </w:rPr>
      </w:pPr>
    </w:p>
    <w:p w14:paraId="787B03C2" w14:textId="77777777" w:rsidR="00920495" w:rsidRPr="004870C7" w:rsidRDefault="00920495" w:rsidP="00920495">
      <w:pPr>
        <w:spacing w:after="0"/>
        <w:jc w:val="left"/>
        <w:rPr>
          <w:bCs/>
          <w:iCs/>
          <w:szCs w:val="20"/>
          <w:u w:val="single"/>
        </w:rPr>
      </w:pPr>
      <w:r w:rsidRPr="004870C7">
        <w:rPr>
          <w:bCs/>
          <w:iCs/>
          <w:szCs w:val="20"/>
          <w:u w:val="single"/>
        </w:rPr>
        <w:t>3.</w:t>
      </w:r>
      <w:r w:rsidRPr="004870C7">
        <w:rPr>
          <w:bCs/>
          <w:iCs/>
          <w:szCs w:val="20"/>
          <w:u w:val="single"/>
        </w:rPr>
        <w:tab/>
        <w:t>Track progress of NDC achievement and implementation and mitigation actions</w:t>
      </w:r>
    </w:p>
    <w:p w14:paraId="224C2243" w14:textId="77777777" w:rsidR="00920495" w:rsidRPr="004870C7" w:rsidRDefault="00920495" w:rsidP="00920495">
      <w:pPr>
        <w:spacing w:after="0"/>
        <w:jc w:val="left"/>
        <w:rPr>
          <w:bCs/>
          <w:iCs/>
          <w:szCs w:val="20"/>
        </w:rPr>
      </w:pPr>
    </w:p>
    <w:p w14:paraId="5DCB36AF" w14:textId="77777777" w:rsidR="00920495" w:rsidRPr="004870C7" w:rsidRDefault="00920495" w:rsidP="00DC3097">
      <w:pPr>
        <w:spacing w:after="0"/>
        <w:rPr>
          <w:bCs/>
          <w:iCs/>
          <w:szCs w:val="20"/>
        </w:rPr>
      </w:pPr>
      <w:r w:rsidRPr="004870C7">
        <w:rPr>
          <w:bCs/>
          <w:iCs/>
          <w:szCs w:val="20"/>
        </w:rPr>
        <w:t xml:space="preserve">For tracking progress on NDC implementation and achievement, information will be provided on the indicators for the reference points, including (levels, baseline, base year, targets. In addition, information on any recalculation of GHG emissions will be updated, as well as comparison to the reference values at the time of reporting. In addition to target and indicators values, the methodology will be described, including key parameters, assumptions, definitions, data sources, models used etc. </w:t>
      </w:r>
    </w:p>
    <w:p w14:paraId="13D2E013" w14:textId="77777777" w:rsidR="00AD257B" w:rsidRPr="004870C7" w:rsidRDefault="00AD257B" w:rsidP="00DC3097">
      <w:pPr>
        <w:spacing w:after="0"/>
        <w:rPr>
          <w:bCs/>
          <w:iCs/>
          <w:szCs w:val="20"/>
        </w:rPr>
      </w:pPr>
    </w:p>
    <w:p w14:paraId="57FDC950" w14:textId="353AB3EE" w:rsidR="00920495" w:rsidRPr="004870C7" w:rsidRDefault="00920495" w:rsidP="00DC3097">
      <w:pPr>
        <w:spacing w:after="0"/>
        <w:rPr>
          <w:bCs/>
          <w:iCs/>
          <w:szCs w:val="20"/>
        </w:rPr>
      </w:pPr>
      <w:r w:rsidRPr="004870C7">
        <w:rPr>
          <w:bCs/>
          <w:iCs/>
          <w:szCs w:val="20"/>
        </w:rPr>
        <w:t>Through the proposed project, the country’s potential to reduce greenhouse gas emissions will be assessed and updated, major GHG emission reduction opportunities will be identified and the policy framework and recommendations to enhance it will be proposed. The detailed description of system for</w:t>
      </w:r>
      <w:r w:rsidR="00AD257B" w:rsidRPr="004870C7">
        <w:rPr>
          <w:bCs/>
          <w:iCs/>
          <w:szCs w:val="20"/>
        </w:rPr>
        <w:t xml:space="preserve"> Policies and Measures</w:t>
      </w:r>
      <w:r w:rsidRPr="004870C7">
        <w:rPr>
          <w:bCs/>
          <w:iCs/>
          <w:szCs w:val="20"/>
        </w:rPr>
        <w:t xml:space="preserve"> </w:t>
      </w:r>
      <w:r w:rsidR="00AD257B" w:rsidRPr="004870C7">
        <w:rPr>
          <w:bCs/>
          <w:iCs/>
          <w:szCs w:val="20"/>
        </w:rPr>
        <w:t>(</w:t>
      </w:r>
      <w:r w:rsidRPr="004870C7">
        <w:rPr>
          <w:bCs/>
          <w:iCs/>
          <w:szCs w:val="20"/>
        </w:rPr>
        <w:t>PaMs</w:t>
      </w:r>
      <w:r w:rsidR="00AD257B" w:rsidRPr="004870C7">
        <w:rPr>
          <w:bCs/>
          <w:iCs/>
          <w:szCs w:val="20"/>
        </w:rPr>
        <w:t>)</w:t>
      </w:r>
      <w:r w:rsidRPr="004870C7">
        <w:rPr>
          <w:bCs/>
          <w:iCs/>
          <w:szCs w:val="20"/>
        </w:rPr>
        <w:t xml:space="preserve"> and projections will be described. The analysis on national PaMs and specific estimates of their effects on GHG by sectors will be updated. The GHG emissions projections to 2040, as assessment of the combined impact of policies and measures with different scenarios: without measures (BaU/WOM), excluding all policies and measures implemented, adopted or planned; with existing measures (WEM) scenario, encompassing currently implemented and adopted policies and measures and with additional measures (WAM), encompassing planned policies and measures, after the year chosen as the starting point for this projection will be developed. Besides, the methodology description used for the submitted GHG emission projections will be </w:t>
      </w:r>
      <w:r w:rsidR="00AD257B" w:rsidRPr="004870C7">
        <w:rPr>
          <w:bCs/>
          <w:iCs/>
          <w:szCs w:val="20"/>
        </w:rPr>
        <w:t>presented</w:t>
      </w:r>
      <w:r w:rsidRPr="004870C7">
        <w:rPr>
          <w:bCs/>
          <w:iCs/>
          <w:szCs w:val="20"/>
        </w:rPr>
        <w:t xml:space="preserve">. The mitigation analysis will built-on the analysis previously prepared under the SBUR and the TNC, as well as updated NDC2, integrated national energy and climate plan (NECP) and finally LCDS. For the first time, the mitigation actions will consider different role of women and men. This will be done on the basis of new gender relevant data and information collection and analysis with the subsequent scenario development and estimation. With this goal, the cost benefit analysis for mitigation actions will be conducted and advances in implementing mitigation measures undertaken in all sectors will be taken into account. The analysis shall also include early implementation of internal emissions trading system and emissions allocations to the stationary combustion operators, in line with new climate legislation. Finally, part of the resources will be invested in preparation of the technical analysis for the next nationally determined contribution revision (NDC3) target to reduce GHG emissions in period 2025-2030, along with the roadmap for NDC3 implementation, incl. adaptation component and measures. </w:t>
      </w:r>
      <w:r w:rsidR="00AD257B" w:rsidRPr="004870C7">
        <w:rPr>
          <w:bCs/>
          <w:iCs/>
          <w:szCs w:val="20"/>
        </w:rPr>
        <w:t xml:space="preserve">In </w:t>
      </w:r>
      <w:r w:rsidRPr="004870C7">
        <w:rPr>
          <w:bCs/>
          <w:iCs/>
          <w:szCs w:val="20"/>
        </w:rPr>
        <w:t xml:space="preserve">the coming years, economic growth and also the GHG emission level will be strongly influenced by the global CoVID19 crisis. In terms of GHG, the crisis will have a short time beneficial effect. It depends on public and private decision makers to take this as a chance for a transformation of national economies and societies to allow for long-term sustainable growth towards a zero-carbon economy. </w:t>
      </w:r>
    </w:p>
    <w:p w14:paraId="3E20F7ED" w14:textId="77777777" w:rsidR="00920495" w:rsidRPr="004870C7" w:rsidRDefault="00920495" w:rsidP="00DC3097">
      <w:pPr>
        <w:spacing w:after="0"/>
        <w:rPr>
          <w:bCs/>
          <w:iCs/>
          <w:szCs w:val="20"/>
        </w:rPr>
      </w:pPr>
    </w:p>
    <w:p w14:paraId="11D40E3A" w14:textId="77777777" w:rsidR="00920495" w:rsidRPr="004870C7" w:rsidRDefault="00920495" w:rsidP="00DC3097">
      <w:pPr>
        <w:spacing w:after="0"/>
        <w:rPr>
          <w:bCs/>
          <w:iCs/>
          <w:szCs w:val="20"/>
        </w:rPr>
      </w:pPr>
      <w:r w:rsidRPr="004870C7">
        <w:rPr>
          <w:bCs/>
          <w:iCs/>
          <w:szCs w:val="20"/>
        </w:rPr>
        <w:t>All works will be conducted in close communication among all stakeholders, so consultative workshops and seminars will be organized on policies and measures to mitigate the climate change, including gender awareness training.</w:t>
      </w:r>
    </w:p>
    <w:p w14:paraId="0F32735B" w14:textId="77777777" w:rsidR="00920495" w:rsidRPr="004870C7" w:rsidRDefault="00920495" w:rsidP="00DC3097">
      <w:pPr>
        <w:spacing w:after="0"/>
        <w:rPr>
          <w:bCs/>
          <w:iCs/>
          <w:szCs w:val="20"/>
        </w:rPr>
      </w:pPr>
    </w:p>
    <w:p w14:paraId="1D802AF3" w14:textId="6F50BB3C" w:rsidR="00920495" w:rsidRPr="004870C7" w:rsidRDefault="00920495" w:rsidP="00DC3097">
      <w:pPr>
        <w:spacing w:after="0"/>
        <w:rPr>
          <w:bCs/>
          <w:iCs/>
          <w:szCs w:val="20"/>
        </w:rPr>
      </w:pPr>
      <w:r w:rsidRPr="004870C7">
        <w:rPr>
          <w:bCs/>
          <w:iCs/>
          <w:szCs w:val="20"/>
        </w:rPr>
        <w:t>The tracking progress toward the mitigation target is of utmost importance in the coming period, so appropriately maintained MRV system with precise metrics in line with the “Modalities, Procedures and Guidelines for the Transparency Framework” (MPG) from the Katowice climate package (Annex to decision 18/CMA.1) is needed. The well-established NDC tracking will also attract international climate financing for domestic mitigation and adaptation actions. The national MRV system will be established through the Strengthening Montenegro’s Nationally Determined Contribution (NDC) and Adaptation Activities Transparency Framework project, to be financed through Capacity-building Initiative for Transparency (CBIT) and executed with the 4NC/1BTR</w:t>
      </w:r>
      <w:r w:rsidR="00AD257B" w:rsidRPr="004870C7">
        <w:rPr>
          <w:bCs/>
          <w:iCs/>
          <w:szCs w:val="20"/>
        </w:rPr>
        <w:t xml:space="preserve"> project</w:t>
      </w:r>
      <w:r w:rsidRPr="004870C7">
        <w:rPr>
          <w:bCs/>
          <w:iCs/>
          <w:szCs w:val="20"/>
        </w:rPr>
        <w:t xml:space="preserve"> in parallel. While the transparency project is more focused on the strengthening governance, procedures and technical capacities, transparency MPGs for tracking mitigation and adaptation actions, its results will be shared and useful for better and more precise reporting under the 4NC/1BTR. So, these two projects are quite complemented since these projects activities are not duplicated. Following the concrete decision on dedicating the MRV activities at both sectoral and national level, policy framework for establishing the referred system will be enhanced. Also, the national MRV system should be linked to the binding annual GHG emission reductions and emission allocations national register. Finally, strong linkages will be established between low carbon benefits that will be derived from the implementation of the national climate change policy as well as any development policies or measures which will have tangible co-benefits for climate change mitigation and adaptation actions and vice versa.</w:t>
      </w:r>
    </w:p>
    <w:p w14:paraId="58FC6B4A" w14:textId="77777777" w:rsidR="00920495" w:rsidRPr="004870C7" w:rsidRDefault="00920495" w:rsidP="00920495">
      <w:pPr>
        <w:spacing w:after="0"/>
        <w:jc w:val="left"/>
        <w:rPr>
          <w:bCs/>
          <w:iCs/>
          <w:szCs w:val="20"/>
        </w:rPr>
      </w:pPr>
    </w:p>
    <w:p w14:paraId="66ACECDE" w14:textId="77777777" w:rsidR="00920495" w:rsidRPr="004870C7" w:rsidRDefault="00920495" w:rsidP="00920495">
      <w:pPr>
        <w:spacing w:after="0"/>
        <w:jc w:val="left"/>
        <w:rPr>
          <w:bCs/>
          <w:iCs/>
          <w:szCs w:val="20"/>
          <w:u w:val="single"/>
        </w:rPr>
      </w:pPr>
      <w:r w:rsidRPr="004870C7">
        <w:rPr>
          <w:bCs/>
          <w:iCs/>
          <w:szCs w:val="20"/>
          <w:u w:val="single"/>
        </w:rPr>
        <w:t>4.</w:t>
      </w:r>
      <w:r w:rsidRPr="004870C7">
        <w:rPr>
          <w:bCs/>
          <w:iCs/>
          <w:szCs w:val="20"/>
          <w:u w:val="single"/>
        </w:rPr>
        <w:tab/>
        <w:t>Climate Change Impacts and Adaptation</w:t>
      </w:r>
    </w:p>
    <w:p w14:paraId="1307EB93" w14:textId="77777777" w:rsidR="00920495" w:rsidRPr="004870C7" w:rsidRDefault="00920495" w:rsidP="00920495">
      <w:pPr>
        <w:spacing w:after="0"/>
        <w:jc w:val="left"/>
        <w:rPr>
          <w:bCs/>
          <w:iCs/>
          <w:szCs w:val="20"/>
        </w:rPr>
      </w:pPr>
    </w:p>
    <w:p w14:paraId="31E52199" w14:textId="77777777" w:rsidR="00920495" w:rsidRPr="004870C7" w:rsidRDefault="00920495" w:rsidP="00DC3097">
      <w:pPr>
        <w:spacing w:after="0"/>
        <w:rPr>
          <w:bCs/>
          <w:iCs/>
          <w:szCs w:val="20"/>
        </w:rPr>
      </w:pPr>
      <w:r w:rsidRPr="004870C7">
        <w:rPr>
          <w:bCs/>
          <w:iCs/>
          <w:szCs w:val="20"/>
        </w:rPr>
        <w:t>Vulnerability Assessment, Climate Change Impacts and Adaptation Chapter of the 3NC covered an analysis with references to temperature and precipitation trends, climate scenarios, climate, temperature and precipitation projections. The chapter hosted sectoral assessments focusing on the expected impacts and vulnerabilities in water resources, agriculture, forestry, coastal areas, urban areas, marine ecosystems and fisheries and provided a compilation of the adaptation measures taken to address referred impacts and vulnerabilities.</w:t>
      </w:r>
    </w:p>
    <w:p w14:paraId="3E46B117" w14:textId="77777777" w:rsidR="00920495" w:rsidRPr="004870C7" w:rsidRDefault="00920495" w:rsidP="00DC3097">
      <w:pPr>
        <w:spacing w:after="0"/>
        <w:rPr>
          <w:bCs/>
          <w:iCs/>
          <w:szCs w:val="20"/>
        </w:rPr>
      </w:pPr>
    </w:p>
    <w:p w14:paraId="39049646" w14:textId="77777777" w:rsidR="00920495" w:rsidRPr="004870C7" w:rsidRDefault="00920495" w:rsidP="00DC3097">
      <w:pPr>
        <w:spacing w:after="0"/>
        <w:rPr>
          <w:bCs/>
          <w:iCs/>
          <w:szCs w:val="20"/>
        </w:rPr>
      </w:pPr>
      <w:r w:rsidRPr="004870C7">
        <w:rPr>
          <w:bCs/>
          <w:iCs/>
          <w:szCs w:val="20"/>
        </w:rPr>
        <w:lastRenderedPageBreak/>
        <w:t>When it comes to climate projections for the years 2011-2100, the RCP8.5 scenario results show that the temperatures will be risen by 2-3°C in average and the precipitation will reduce significantly. The sectoral assessments within the 3NC demonstrated that Montenegro will face water stress, decline in the agricultural yield and hydro electricity production, more often forest fires, ground temperature increase, increase in natural disasters and decrease in winter tourism as a result of the adverse effects of the climate change.</w:t>
      </w:r>
    </w:p>
    <w:p w14:paraId="0005C9E2" w14:textId="77777777" w:rsidR="00920495" w:rsidRPr="004870C7" w:rsidRDefault="00920495" w:rsidP="00DC3097">
      <w:pPr>
        <w:spacing w:after="0"/>
        <w:rPr>
          <w:bCs/>
          <w:iCs/>
          <w:szCs w:val="20"/>
        </w:rPr>
      </w:pPr>
    </w:p>
    <w:p w14:paraId="791E9D65" w14:textId="77777777" w:rsidR="00920495" w:rsidRPr="004870C7" w:rsidRDefault="00920495" w:rsidP="00DC3097">
      <w:pPr>
        <w:spacing w:after="0"/>
        <w:rPr>
          <w:bCs/>
          <w:iCs/>
          <w:szCs w:val="20"/>
        </w:rPr>
      </w:pPr>
      <w:r w:rsidRPr="004870C7">
        <w:rPr>
          <w:bCs/>
          <w:iCs/>
          <w:szCs w:val="20"/>
        </w:rPr>
        <w:t>The sectorial coverage in the 4NC/1BTR will be extended to cover sectors that have not been covered previously, such as infrastructure, settlement/housing, food security, rural areas, mountains and hydro energy. In addition, previous assessment conducted in some of the sectors will be revised based on renewed results of modeled climate change projections in terms of covering also the extreme events, such as heat waves, water resources scarcity, flooding, forest fires, etc. to the extent possible.</w:t>
      </w:r>
    </w:p>
    <w:p w14:paraId="268911AC" w14:textId="77777777" w:rsidR="00920495" w:rsidRPr="004870C7" w:rsidRDefault="00920495" w:rsidP="00DC3097">
      <w:pPr>
        <w:spacing w:after="0"/>
        <w:rPr>
          <w:bCs/>
          <w:iCs/>
          <w:szCs w:val="20"/>
        </w:rPr>
      </w:pPr>
    </w:p>
    <w:p w14:paraId="7377BCFC" w14:textId="77777777" w:rsidR="00920495" w:rsidRPr="004870C7" w:rsidRDefault="00920495" w:rsidP="00DC3097">
      <w:pPr>
        <w:spacing w:after="0"/>
        <w:rPr>
          <w:bCs/>
          <w:iCs/>
          <w:szCs w:val="20"/>
        </w:rPr>
      </w:pPr>
      <w:r w:rsidRPr="004870C7">
        <w:rPr>
          <w:bCs/>
          <w:iCs/>
          <w:szCs w:val="20"/>
        </w:rPr>
        <w:t xml:space="preserve">The 4NC/1BTR will build on and update the above referred assessments and will highlight the impacts of climate change on key socio-economic sectors, natural environment, ecosystems and human health. A stocktaking exercise will be conducted to map out the most vulnerable sectors to climate risks in the country and to compile vulnerability and adaptation efforts including national/sectoral adaptation policies, strategies and measures. The analysis will be based on scientific studies and research and the assessments results will provide an opportunity to propose potential adaptation actions, policies and measures in priority sectors. </w:t>
      </w:r>
    </w:p>
    <w:p w14:paraId="539A1704" w14:textId="77777777" w:rsidR="00920495" w:rsidRPr="004870C7" w:rsidRDefault="00920495" w:rsidP="00DC3097">
      <w:pPr>
        <w:spacing w:after="0"/>
        <w:rPr>
          <w:bCs/>
          <w:iCs/>
          <w:szCs w:val="20"/>
        </w:rPr>
      </w:pPr>
    </w:p>
    <w:p w14:paraId="5971DDE0" w14:textId="0D21A792" w:rsidR="00920495" w:rsidRPr="004870C7" w:rsidRDefault="00920495" w:rsidP="00DC3097">
      <w:pPr>
        <w:spacing w:after="0"/>
        <w:rPr>
          <w:bCs/>
          <w:iCs/>
          <w:szCs w:val="20"/>
        </w:rPr>
      </w:pPr>
      <w:r w:rsidRPr="004870C7">
        <w:rPr>
          <w:bCs/>
          <w:iCs/>
          <w:szCs w:val="20"/>
        </w:rPr>
        <w:t>The economic assessment incl. cost-benefit analysis, loss and damage issues of the adaptation measures have barely been covered, so far. This thematic area will be fully revised and updated during the 4NC</w:t>
      </w:r>
      <w:r w:rsidR="00CD6610" w:rsidRPr="004870C7">
        <w:rPr>
          <w:bCs/>
          <w:iCs/>
          <w:szCs w:val="20"/>
        </w:rPr>
        <w:t>/1BTR</w:t>
      </w:r>
      <w:r w:rsidRPr="004870C7">
        <w:rPr>
          <w:bCs/>
          <w:iCs/>
          <w:szCs w:val="20"/>
        </w:rPr>
        <w:t xml:space="preserve"> preparation. Within the framework of preparing the 4NC/1BTR, this component will aim at undertaken improved assessment of climate change impacts on, and vulnerability of different socio-economic sectors, natural resources and ecosystems to climate change.</w:t>
      </w:r>
    </w:p>
    <w:p w14:paraId="3B1EAB86" w14:textId="77777777" w:rsidR="00AD257B" w:rsidRPr="004870C7" w:rsidRDefault="00AD257B" w:rsidP="00DC3097">
      <w:pPr>
        <w:spacing w:after="0"/>
        <w:rPr>
          <w:bCs/>
          <w:iCs/>
          <w:szCs w:val="20"/>
        </w:rPr>
      </w:pPr>
    </w:p>
    <w:p w14:paraId="0059CA06" w14:textId="072BEC8E" w:rsidR="00920495" w:rsidRPr="004870C7" w:rsidRDefault="00920495" w:rsidP="00DC3097">
      <w:pPr>
        <w:spacing w:after="0"/>
        <w:rPr>
          <w:bCs/>
          <w:iCs/>
          <w:szCs w:val="20"/>
        </w:rPr>
      </w:pPr>
      <w:r w:rsidRPr="004870C7">
        <w:rPr>
          <w:bCs/>
          <w:iCs/>
          <w:szCs w:val="20"/>
        </w:rPr>
        <w:t xml:space="preserve">Based on and in line with NAP preparation process updated vulnerability assessment will be initiated. </w:t>
      </w:r>
    </w:p>
    <w:p w14:paraId="0FA7EE06" w14:textId="77777777" w:rsidR="00920495" w:rsidRPr="004870C7" w:rsidRDefault="00920495" w:rsidP="00DC3097">
      <w:pPr>
        <w:spacing w:after="0"/>
        <w:rPr>
          <w:bCs/>
          <w:iCs/>
          <w:szCs w:val="20"/>
        </w:rPr>
      </w:pPr>
    </w:p>
    <w:p w14:paraId="3863053E" w14:textId="77777777" w:rsidR="00920495" w:rsidRPr="004870C7" w:rsidRDefault="00920495" w:rsidP="00DC3097">
      <w:pPr>
        <w:spacing w:after="0"/>
        <w:rPr>
          <w:bCs/>
          <w:iCs/>
          <w:szCs w:val="20"/>
        </w:rPr>
      </w:pPr>
      <w:r w:rsidRPr="004870C7">
        <w:rPr>
          <w:bCs/>
          <w:iCs/>
          <w:szCs w:val="20"/>
        </w:rPr>
        <w:t>The project team will carry out the analysis with a human-rights based and gender-sensitive approach throughout the vulnerability assessment and ensure that the compiled data will be disaggregated per age, gender, disability, to the extent possible. Besides, public engagement to understand the impact of climate change on public health and socio-economic conditions and to find the most equitable adaptation measures for different vulnerable groups will be also performed. Finally, the study analysing the different gender roles in adaptation interventions, policy formulation and decision-making process will be prepared, assessing different roles of women and men in adaptation measures and providing recommendations to ensure gender mainstreaming in planning and implementation of climate change adaptation measures. The study will also envisage vulnerability assessment and recommendations for greater resilience of women and men to climate changes and natural disasters caused by climate change. Once the study is drafted, consultation and workshop for stakeholders to increase their involvement and awareness including gender awareness training will be organised.</w:t>
      </w:r>
    </w:p>
    <w:p w14:paraId="49CCF20C" w14:textId="77777777" w:rsidR="00920495" w:rsidRPr="004870C7" w:rsidRDefault="00920495" w:rsidP="00920495">
      <w:pPr>
        <w:spacing w:after="0"/>
        <w:jc w:val="left"/>
        <w:rPr>
          <w:bCs/>
          <w:iCs/>
          <w:szCs w:val="20"/>
        </w:rPr>
      </w:pPr>
    </w:p>
    <w:p w14:paraId="566E9033" w14:textId="77777777" w:rsidR="00920495" w:rsidRPr="004870C7" w:rsidRDefault="00920495" w:rsidP="00920495">
      <w:pPr>
        <w:spacing w:after="0"/>
        <w:jc w:val="left"/>
        <w:rPr>
          <w:bCs/>
          <w:iCs/>
          <w:szCs w:val="20"/>
          <w:u w:val="single"/>
        </w:rPr>
      </w:pPr>
      <w:r w:rsidRPr="004870C7">
        <w:rPr>
          <w:bCs/>
          <w:iCs/>
          <w:szCs w:val="20"/>
          <w:u w:val="single"/>
        </w:rPr>
        <w:t>5.</w:t>
      </w:r>
      <w:r w:rsidRPr="004870C7">
        <w:rPr>
          <w:bCs/>
          <w:iCs/>
          <w:szCs w:val="20"/>
          <w:u w:val="single"/>
        </w:rPr>
        <w:tab/>
        <w:t>Compilation, publication and submission of the NC/BTR report, Knowledge management, Monitoring and Evaluation</w:t>
      </w:r>
    </w:p>
    <w:p w14:paraId="6A9EC632" w14:textId="77777777" w:rsidR="00920495" w:rsidRPr="004870C7" w:rsidRDefault="00920495" w:rsidP="00920495">
      <w:pPr>
        <w:spacing w:after="0"/>
        <w:jc w:val="left"/>
        <w:rPr>
          <w:bCs/>
          <w:iCs/>
          <w:szCs w:val="20"/>
        </w:rPr>
      </w:pPr>
    </w:p>
    <w:p w14:paraId="68266BEA" w14:textId="77777777" w:rsidR="00920495" w:rsidRPr="004870C7" w:rsidRDefault="00920495" w:rsidP="00DC3097">
      <w:pPr>
        <w:spacing w:after="0"/>
        <w:rPr>
          <w:bCs/>
          <w:iCs/>
          <w:szCs w:val="20"/>
        </w:rPr>
      </w:pPr>
      <w:r w:rsidRPr="004870C7">
        <w:rPr>
          <w:bCs/>
          <w:iCs/>
          <w:szCs w:val="20"/>
        </w:rPr>
        <w:t>When the expected outcomes 1 to 4 and their respective outputs are completed the 4NC/1BTR document will be compiled according to the guidelines, requirements and formats established by the UNFCCC. Compilation and approval process will follow close consultation with all relevant national stakeholders. Once finalised, the document will be translated, edited and submitted to the UNFCCC Secretariat for posting and dissemination. The 4NC/1BTR submission deadline is set for December 2024.</w:t>
      </w:r>
    </w:p>
    <w:p w14:paraId="2506E499" w14:textId="77777777" w:rsidR="00920495" w:rsidRPr="004870C7" w:rsidRDefault="00920495" w:rsidP="00DC3097">
      <w:pPr>
        <w:spacing w:after="0"/>
        <w:rPr>
          <w:bCs/>
          <w:iCs/>
          <w:szCs w:val="20"/>
        </w:rPr>
      </w:pPr>
    </w:p>
    <w:p w14:paraId="147C8D56" w14:textId="77777777" w:rsidR="00920495" w:rsidRPr="004870C7" w:rsidRDefault="00920495" w:rsidP="00DC3097">
      <w:pPr>
        <w:spacing w:after="0"/>
        <w:rPr>
          <w:bCs/>
          <w:iCs/>
          <w:szCs w:val="20"/>
        </w:rPr>
      </w:pPr>
      <w:r w:rsidRPr="004870C7">
        <w:rPr>
          <w:bCs/>
          <w:iCs/>
          <w:szCs w:val="20"/>
        </w:rPr>
        <w:t>Activities will include the following:</w:t>
      </w:r>
    </w:p>
    <w:p w14:paraId="0946E839" w14:textId="77777777" w:rsidR="00920495" w:rsidRPr="004870C7" w:rsidRDefault="00920495" w:rsidP="00AD257B">
      <w:pPr>
        <w:spacing w:after="0"/>
        <w:ind w:left="709" w:hanging="709"/>
        <w:rPr>
          <w:bCs/>
          <w:iCs/>
          <w:szCs w:val="20"/>
        </w:rPr>
      </w:pPr>
      <w:r w:rsidRPr="004870C7">
        <w:rPr>
          <w:bCs/>
          <w:iCs/>
          <w:szCs w:val="20"/>
        </w:rPr>
        <w:t>-</w:t>
      </w:r>
      <w:r w:rsidRPr="004870C7">
        <w:rPr>
          <w:bCs/>
          <w:iCs/>
          <w:szCs w:val="20"/>
        </w:rPr>
        <w:tab/>
        <w:t>Organize regular workshops to discuss progress, exchange ideas and present findings of the 4NC/1BTR process;</w:t>
      </w:r>
    </w:p>
    <w:p w14:paraId="00478D3B" w14:textId="77777777" w:rsidR="00920495" w:rsidRPr="004870C7" w:rsidRDefault="00920495" w:rsidP="00DC3097">
      <w:pPr>
        <w:spacing w:after="0"/>
        <w:rPr>
          <w:bCs/>
          <w:iCs/>
          <w:szCs w:val="20"/>
        </w:rPr>
      </w:pPr>
      <w:r w:rsidRPr="004870C7">
        <w:rPr>
          <w:bCs/>
          <w:iCs/>
          <w:szCs w:val="20"/>
        </w:rPr>
        <w:t>-</w:t>
      </w:r>
      <w:r w:rsidRPr="004870C7">
        <w:rPr>
          <w:bCs/>
          <w:iCs/>
          <w:szCs w:val="20"/>
        </w:rPr>
        <w:tab/>
        <w:t>Compile the 4NC/1BTR, introduce it to the national stakeholders;</w:t>
      </w:r>
    </w:p>
    <w:p w14:paraId="5401BE97" w14:textId="77777777" w:rsidR="00920495" w:rsidRPr="004870C7" w:rsidRDefault="00920495" w:rsidP="00DC3097">
      <w:pPr>
        <w:spacing w:after="0"/>
        <w:rPr>
          <w:bCs/>
          <w:iCs/>
          <w:szCs w:val="20"/>
        </w:rPr>
      </w:pPr>
      <w:r w:rsidRPr="004870C7">
        <w:rPr>
          <w:bCs/>
          <w:iCs/>
          <w:szCs w:val="20"/>
        </w:rPr>
        <w:t>-</w:t>
      </w:r>
      <w:r w:rsidRPr="004870C7">
        <w:rPr>
          <w:bCs/>
          <w:iCs/>
          <w:szCs w:val="20"/>
        </w:rPr>
        <w:tab/>
        <w:t>Review 4NC/1BTR by stakeholders;</w:t>
      </w:r>
    </w:p>
    <w:p w14:paraId="61F97C80" w14:textId="77777777" w:rsidR="00920495" w:rsidRPr="004870C7" w:rsidRDefault="00920495" w:rsidP="00DC3097">
      <w:pPr>
        <w:spacing w:after="0"/>
        <w:rPr>
          <w:bCs/>
          <w:iCs/>
          <w:szCs w:val="20"/>
        </w:rPr>
      </w:pPr>
      <w:r w:rsidRPr="004870C7">
        <w:rPr>
          <w:bCs/>
          <w:iCs/>
          <w:szCs w:val="20"/>
        </w:rPr>
        <w:lastRenderedPageBreak/>
        <w:t>-</w:t>
      </w:r>
      <w:r w:rsidRPr="004870C7">
        <w:rPr>
          <w:bCs/>
          <w:iCs/>
          <w:szCs w:val="20"/>
        </w:rPr>
        <w:tab/>
        <w:t>Prepare the Executive Summary;</w:t>
      </w:r>
    </w:p>
    <w:p w14:paraId="3B2A13F7" w14:textId="77777777" w:rsidR="00920495" w:rsidRPr="004870C7" w:rsidRDefault="00920495" w:rsidP="00DC3097">
      <w:pPr>
        <w:spacing w:after="0"/>
        <w:rPr>
          <w:bCs/>
          <w:iCs/>
          <w:szCs w:val="20"/>
        </w:rPr>
      </w:pPr>
      <w:r w:rsidRPr="004870C7">
        <w:rPr>
          <w:bCs/>
          <w:iCs/>
          <w:szCs w:val="20"/>
        </w:rPr>
        <w:t>-</w:t>
      </w:r>
      <w:r w:rsidRPr="004870C7">
        <w:rPr>
          <w:bCs/>
          <w:iCs/>
          <w:szCs w:val="20"/>
        </w:rPr>
        <w:tab/>
        <w:t>Produce the 4NC/1BTR document in both English and Montenegrin;</w:t>
      </w:r>
    </w:p>
    <w:p w14:paraId="584CBFEC" w14:textId="77777777" w:rsidR="00920495" w:rsidRPr="004870C7" w:rsidRDefault="00920495" w:rsidP="00DC3097">
      <w:pPr>
        <w:spacing w:after="0"/>
        <w:rPr>
          <w:bCs/>
          <w:iCs/>
          <w:szCs w:val="20"/>
        </w:rPr>
      </w:pPr>
      <w:r w:rsidRPr="004870C7">
        <w:rPr>
          <w:bCs/>
          <w:iCs/>
          <w:szCs w:val="20"/>
        </w:rPr>
        <w:t>-</w:t>
      </w:r>
      <w:r w:rsidRPr="004870C7">
        <w:rPr>
          <w:bCs/>
          <w:iCs/>
          <w:szCs w:val="20"/>
        </w:rPr>
        <w:tab/>
        <w:t>Submit the 4NC/1BTR to project steering committee for technical review;</w:t>
      </w:r>
    </w:p>
    <w:p w14:paraId="136BAEBB" w14:textId="77777777" w:rsidR="00920495" w:rsidRPr="004870C7" w:rsidRDefault="00920495" w:rsidP="00DC3097">
      <w:pPr>
        <w:spacing w:after="0"/>
        <w:rPr>
          <w:bCs/>
          <w:iCs/>
          <w:szCs w:val="20"/>
        </w:rPr>
      </w:pPr>
      <w:r w:rsidRPr="004870C7">
        <w:rPr>
          <w:bCs/>
          <w:iCs/>
          <w:szCs w:val="20"/>
        </w:rPr>
        <w:t>-</w:t>
      </w:r>
      <w:r w:rsidRPr="004870C7">
        <w:rPr>
          <w:bCs/>
          <w:iCs/>
          <w:szCs w:val="20"/>
        </w:rPr>
        <w:tab/>
        <w:t>Publish the 4NC/1BTR;</w:t>
      </w:r>
    </w:p>
    <w:p w14:paraId="251B084A" w14:textId="77777777" w:rsidR="00920495" w:rsidRPr="004870C7" w:rsidRDefault="00920495" w:rsidP="00DC3097">
      <w:pPr>
        <w:spacing w:after="0"/>
        <w:rPr>
          <w:bCs/>
          <w:iCs/>
          <w:szCs w:val="20"/>
        </w:rPr>
      </w:pPr>
      <w:r w:rsidRPr="004870C7">
        <w:rPr>
          <w:bCs/>
          <w:iCs/>
          <w:szCs w:val="20"/>
        </w:rPr>
        <w:t>-</w:t>
      </w:r>
      <w:r w:rsidRPr="004870C7">
        <w:rPr>
          <w:bCs/>
          <w:iCs/>
          <w:szCs w:val="20"/>
        </w:rPr>
        <w:tab/>
        <w:t>Submit the 4NC/1BTR to Executive Secretary of the UNFCCC;</w:t>
      </w:r>
    </w:p>
    <w:p w14:paraId="1919B5E2" w14:textId="77777777" w:rsidR="00920495" w:rsidRPr="004870C7" w:rsidRDefault="00920495" w:rsidP="00DC3097">
      <w:pPr>
        <w:spacing w:after="0"/>
        <w:rPr>
          <w:bCs/>
          <w:iCs/>
          <w:szCs w:val="20"/>
        </w:rPr>
      </w:pPr>
      <w:r w:rsidRPr="004870C7">
        <w:rPr>
          <w:bCs/>
          <w:iCs/>
          <w:szCs w:val="20"/>
        </w:rPr>
        <w:t>-</w:t>
      </w:r>
      <w:r w:rsidRPr="004870C7">
        <w:rPr>
          <w:bCs/>
          <w:iCs/>
          <w:szCs w:val="20"/>
        </w:rPr>
        <w:tab/>
        <w:t>Distribute the 4NC/1BTR report to stakeholders;</w:t>
      </w:r>
    </w:p>
    <w:p w14:paraId="1D196EB4" w14:textId="0A635F05" w:rsidR="008972ED" w:rsidRPr="004870C7" w:rsidRDefault="00920495" w:rsidP="00DC3097">
      <w:pPr>
        <w:spacing w:after="0"/>
        <w:rPr>
          <w:bCs/>
          <w:iCs/>
          <w:szCs w:val="20"/>
        </w:rPr>
      </w:pPr>
      <w:r w:rsidRPr="004870C7">
        <w:rPr>
          <w:bCs/>
          <w:iCs/>
          <w:szCs w:val="20"/>
        </w:rPr>
        <w:t>-</w:t>
      </w:r>
      <w:r w:rsidRPr="004870C7">
        <w:rPr>
          <w:bCs/>
          <w:iCs/>
          <w:szCs w:val="20"/>
        </w:rPr>
        <w:tab/>
        <w:t>Analyse lessons learned and disseminate thematic studies and project results.</w:t>
      </w:r>
    </w:p>
    <w:p w14:paraId="42501CED" w14:textId="77777777" w:rsidR="00677513" w:rsidRPr="004870C7" w:rsidRDefault="00677513" w:rsidP="001354E3">
      <w:pPr>
        <w:pStyle w:val="ListParagraph"/>
        <w:ind w:left="0"/>
        <w:rPr>
          <w:rFonts w:ascii="Calibri" w:hAnsi="Calibri"/>
          <w:bCs/>
          <w:i/>
          <w:sz w:val="20"/>
          <w:szCs w:val="20"/>
        </w:rPr>
      </w:pPr>
    </w:p>
    <w:p w14:paraId="16728299" w14:textId="1042B883" w:rsidR="00E349BA" w:rsidRPr="004870C7" w:rsidRDefault="00A91A62" w:rsidP="001354E3">
      <w:pPr>
        <w:spacing w:after="0"/>
        <w:jc w:val="left"/>
        <w:rPr>
          <w:rFonts w:asciiTheme="minorHAnsi" w:hAnsiTheme="minorHAnsi" w:cstheme="minorHAnsi"/>
          <w:i/>
          <w:szCs w:val="22"/>
        </w:rPr>
      </w:pPr>
      <w:r w:rsidRPr="004870C7">
        <w:rPr>
          <w:szCs w:val="20"/>
          <w:u w:val="single"/>
        </w:rPr>
        <w:t>P</w:t>
      </w:r>
      <w:r w:rsidR="00C644BD" w:rsidRPr="004870C7">
        <w:rPr>
          <w:szCs w:val="20"/>
          <w:u w:val="single"/>
        </w:rPr>
        <w:t>artnerships</w:t>
      </w:r>
      <w:r w:rsidR="00C644BD" w:rsidRPr="004870C7">
        <w:rPr>
          <w:szCs w:val="20"/>
        </w:rPr>
        <w:t>:</w:t>
      </w:r>
      <w:r w:rsidR="00C644BD" w:rsidRPr="004870C7">
        <w:rPr>
          <w:i/>
          <w:szCs w:val="20"/>
        </w:rPr>
        <w:t xml:space="preserve">  </w:t>
      </w:r>
    </w:p>
    <w:p w14:paraId="58878CB8" w14:textId="77777777" w:rsidR="005A09BF" w:rsidRPr="004870C7" w:rsidRDefault="005A09BF" w:rsidP="005A09BF"/>
    <w:p w14:paraId="4A00528F" w14:textId="2815902C" w:rsidR="005A09BF" w:rsidRPr="004870C7" w:rsidRDefault="005A09BF" w:rsidP="005A09BF">
      <w:r w:rsidRPr="004870C7">
        <w:t>The preparation process of three National Communications and two Biennial Update Reports to the Conference of the Parties of the UNFCCC, has contributed to the institutional strengthening of the MESPU, as competent institution for the application of the Convention as well as of other relevant institutions at national level. This project will additionally improve the sustainability for preparation of future NCs//BTRs/NDCs/NAPs and will facilitate the reporting requirements to the UNFCCC. Active participation by all stakeholders in the formulation of mitigation and adaptation policies and measures will be facilitated to ensure ownership and sustainability.</w:t>
      </w:r>
    </w:p>
    <w:p w14:paraId="096C2366" w14:textId="77777777" w:rsidR="005A09BF" w:rsidRPr="004870C7" w:rsidRDefault="005A09BF" w:rsidP="005A09BF"/>
    <w:p w14:paraId="1496C5AB" w14:textId="77777777" w:rsidR="005A09BF" w:rsidRPr="004870C7" w:rsidRDefault="005A09BF" w:rsidP="005A09BF">
      <w:r w:rsidRPr="004870C7">
        <w:t>The project outcomes will facilitate the national mitigation and adaptation action and planning, will enable recognition of mitigation and adaptation efforts in the country, as well as will link the national climate action to international support. Moreover, the outcomes would support competent and informed policy making in the field of climate change and will enhance the positions of the country in the climate change negotiation process at international, as well as at European level.</w:t>
      </w:r>
    </w:p>
    <w:p w14:paraId="19E722E5" w14:textId="3CB6E114" w:rsidR="005A09BF" w:rsidRPr="004870C7" w:rsidRDefault="005A09BF" w:rsidP="005A09BF"/>
    <w:p w14:paraId="1FF43879" w14:textId="65E5CF80" w:rsidR="005A09BF" w:rsidRPr="004870C7" w:rsidRDefault="005A09BF" w:rsidP="005A09BF">
      <w:r w:rsidRPr="004870C7">
        <w:t>In relation to other initiatives, various on-line meetings and consultations were organised primarily with the Ministry of Ecology, Spatial Planning and Urbanism (MESPU), i.e. Directorate for International Cooperation, EU Integrations and Climate Change, as the leading national institution in creating and implementing climate change policy in Montenegro. In order to find synergies with the existing proposal, various other projects and activities were discussed and the following was summarised:</w:t>
      </w:r>
    </w:p>
    <w:p w14:paraId="77274D46" w14:textId="2783FE3E" w:rsidR="005A09BF" w:rsidRPr="004870C7" w:rsidRDefault="005A09BF" w:rsidP="00FA41FE">
      <w:pPr>
        <w:numPr>
          <w:ilvl w:val="0"/>
          <w:numId w:val="34"/>
        </w:numPr>
      </w:pPr>
      <w:r w:rsidRPr="004870C7">
        <w:t>With the support of UNDP, MESPU submitted to GCF project proposal for development of National Adaptation Plan (NAP). The proposal was approved by the end of 2020</w:t>
      </w:r>
      <w:r w:rsidR="00B30F9E" w:rsidRPr="004870C7">
        <w:t>, a</w:t>
      </w:r>
      <w:r w:rsidRPr="004870C7">
        <w:t xml:space="preserve">nd the implementation of the project started at the beginning of 2021. The project will primarily deal with setting national policies and integrating adaptation into national and sectoral planning processes, targeting four priority sectors (tourism, agriculture, health and water resources).  </w:t>
      </w:r>
    </w:p>
    <w:p w14:paraId="32A058E4" w14:textId="2CF03FD4" w:rsidR="00BD2379" w:rsidRPr="00B54400" w:rsidRDefault="00BD2379" w:rsidP="00B30F9E">
      <w:pPr>
        <w:numPr>
          <w:ilvl w:val="0"/>
          <w:numId w:val="34"/>
        </w:numPr>
      </w:pPr>
      <w:r w:rsidRPr="007F24D7">
        <w:t xml:space="preserve">With the support </w:t>
      </w:r>
      <w:r w:rsidRPr="00B54400">
        <w:t xml:space="preserve">of </w:t>
      </w:r>
      <w:r w:rsidR="00B30F9E" w:rsidRPr="00B54400">
        <w:t>UNDP</w:t>
      </w:r>
      <w:r w:rsidRPr="00B54400">
        <w:t xml:space="preserve">, </w:t>
      </w:r>
      <w:r w:rsidR="00B30F9E" w:rsidRPr="00B54400">
        <w:t xml:space="preserve">MESPU submitted to GEF proposal </w:t>
      </w:r>
      <w:r w:rsidRPr="00B54400">
        <w:t>within the Capacity Building Initiative for Transparency (CBIT).</w:t>
      </w:r>
      <w:r w:rsidR="00883418" w:rsidRPr="00B54400">
        <w:t xml:space="preserve"> The proposal has been approved in July 2021. </w:t>
      </w:r>
      <w:r w:rsidRPr="00B54400">
        <w:t>The aim of the project is to strengthen national institutional and technical capacities pursuing more efficient articulation to allow an enhanced enabling environment for transparency related activities, as well as adopting or improving methodologies and tools to enhance transparency as requested in Article 13 of the Paris Agreement. The expected results are a strengthened institutional mechanism to track nationally determined contributions and the development of a more robust transparency framework.</w:t>
      </w:r>
    </w:p>
    <w:p w14:paraId="7ED9E1FF" w14:textId="58A316E5" w:rsidR="00883418" w:rsidRPr="00B54400" w:rsidRDefault="00883418" w:rsidP="00883418">
      <w:pPr>
        <w:ind w:left="720"/>
        <w:rPr>
          <w:lang w:val="en-GB"/>
        </w:rPr>
      </w:pPr>
      <w:r w:rsidRPr="00B54400">
        <w:t>The CBIT project mainly focuses on building national system for Monitoring, Reporting and Verification (MRV). It will make sure to incorporate transparency as the main guiding principle into the methodologies, procedures and guidelines on major elements of national MRV system (GHG Inventory, mitigation actions, adaptation actions, climate finance). It further aims to strengthen the governance mechanisms, as well as the capacities and engagements of relevant national partners for transparency. Most of those national partners will contribute to the preparation of the 4NC/1BTR. By increasing their capacities, developing MPGs and setting up institutional arrangements as part of the CBIT, it is expected</w:t>
      </w:r>
      <w:r w:rsidRPr="00B54400">
        <w:rPr>
          <w:rFonts w:ascii="Times New Roman" w:eastAsia="Times New Roman" w:hAnsi="Times New Roman"/>
          <w:color w:val="000000"/>
          <w:sz w:val="22"/>
          <w:szCs w:val="22"/>
        </w:rPr>
        <w:t xml:space="preserve"> </w:t>
      </w:r>
      <w:r w:rsidRPr="00B54400">
        <w:t>that data collection needed for 4NC/1BTR will be smoother, quality of data and analysis would be improved, while methodological and other gaps in the reporting process will be addressed. The project on 4NC/1BTR will be dealing with</w:t>
      </w:r>
      <w:r w:rsidRPr="00B54400">
        <w:rPr>
          <w:i/>
          <w:iCs/>
        </w:rPr>
        <w:t xml:space="preserve"> </w:t>
      </w:r>
      <w:r w:rsidRPr="00B54400">
        <w:t xml:space="preserve">data collection, e.g. related to GHG emissions, where for example State Statistical Office (MONSTAT) and EPA will work together to collect data and calculate GHG emissions while </w:t>
      </w:r>
      <w:r w:rsidRPr="00B54400">
        <w:rPr>
          <w:lang w:val="en-GB"/>
        </w:rPr>
        <w:t xml:space="preserve">trying to enhance </w:t>
      </w:r>
      <w:r w:rsidRPr="00B54400">
        <w:rPr>
          <w:lang w:val="en-GB"/>
        </w:rPr>
        <w:lastRenderedPageBreak/>
        <w:t xml:space="preserve">data quality wherever possible (including reassessment of national EFs where applicable). This will be done by the MONSTAT and EPA experts and external expertise where needed. </w:t>
      </w:r>
    </w:p>
    <w:p w14:paraId="07BFF44B" w14:textId="77777777" w:rsidR="00883418" w:rsidRPr="00B54400" w:rsidRDefault="00883418" w:rsidP="00883418">
      <w:pPr>
        <w:ind w:left="720"/>
        <w:rPr>
          <w:lang w:val="en-GB"/>
        </w:rPr>
      </w:pPr>
      <w:r w:rsidRPr="00B54400">
        <w:rPr>
          <w:lang w:val="en-GB"/>
        </w:rPr>
        <w:t xml:space="preserve">Specific results of the CBIT project, like MPGs for climate actions, both mitigation and adaptation, as well as GHG inventory and climate finance, together with agreements to be made between various institutions on data collection, collation and quality control, in order to institutionalise and operationalise proper data flows, strengthened with the on-line tools for enhanced transparency in the reporting system, will significantly facilitate the process of development of 4NC/1BTR, but should also made a solid national system for future reporting on climate change.         </w:t>
      </w:r>
    </w:p>
    <w:p w14:paraId="39CC7609" w14:textId="0C97B250" w:rsidR="005A09BF" w:rsidRPr="004870C7" w:rsidRDefault="005A09BF" w:rsidP="00B30F9E">
      <w:pPr>
        <w:numPr>
          <w:ilvl w:val="0"/>
          <w:numId w:val="34"/>
        </w:numPr>
      </w:pPr>
      <w:r w:rsidRPr="004870C7">
        <w:t xml:space="preserve">With the support of GIZ (German Development Agency), and in close cooperation with the Ministry of Capital Investments, the project is on-going on development of National Energy and Climate Plan (NECP). The project will inform national targets when it comes to energy sector, in line with the targets proposed by the Energy Community.    </w:t>
      </w:r>
    </w:p>
    <w:p w14:paraId="73D8F7A1" w14:textId="77777777" w:rsidR="005A09BF" w:rsidRPr="004870C7" w:rsidRDefault="005A09BF" w:rsidP="00FA41FE">
      <w:pPr>
        <w:numPr>
          <w:ilvl w:val="0"/>
          <w:numId w:val="34"/>
        </w:numPr>
      </w:pPr>
      <w:r w:rsidRPr="004870C7">
        <w:t xml:space="preserve">With support of IUCN, Ministry will work on development of nature-based solutions in combating climate change. </w:t>
      </w:r>
    </w:p>
    <w:p w14:paraId="077BAA4E" w14:textId="27B1CCD0" w:rsidR="00925D33" w:rsidRPr="004870C7" w:rsidRDefault="00925D33" w:rsidP="00925D33">
      <w:pPr>
        <w:rPr>
          <w:u w:val="single"/>
        </w:rPr>
      </w:pPr>
    </w:p>
    <w:p w14:paraId="68B48106" w14:textId="2F573FC0" w:rsidR="00677513" w:rsidRPr="004870C7" w:rsidRDefault="00925D33" w:rsidP="00673472">
      <w:pPr>
        <w:rPr>
          <w:i/>
        </w:rPr>
      </w:pPr>
      <w:r w:rsidRPr="004870C7">
        <w:rPr>
          <w:u w:val="single"/>
        </w:rPr>
        <w:t>R</w:t>
      </w:r>
      <w:r w:rsidR="00677513" w:rsidRPr="004870C7">
        <w:rPr>
          <w:u w:val="single"/>
        </w:rPr>
        <w:t>isks</w:t>
      </w:r>
      <w:r w:rsidR="00673472" w:rsidRPr="004870C7">
        <w:rPr>
          <w:i/>
        </w:rPr>
        <w:t>:</w:t>
      </w:r>
    </w:p>
    <w:p w14:paraId="41356884" w14:textId="77777777" w:rsidR="00673472" w:rsidRPr="004870C7" w:rsidRDefault="00673472" w:rsidP="00673472">
      <w:pPr>
        <w:rPr>
          <w:szCs w:val="20"/>
          <w:u w:val="single"/>
        </w:rPr>
      </w:pPr>
    </w:p>
    <w:p w14:paraId="315CC9E4" w14:textId="2E728F19" w:rsidR="00783DEB" w:rsidRPr="004870C7" w:rsidRDefault="00783DEB" w:rsidP="00783DEB">
      <w:pPr>
        <w:spacing w:after="0"/>
        <w:rPr>
          <w:szCs w:val="20"/>
        </w:rPr>
      </w:pPr>
      <w:r w:rsidRPr="004870C7">
        <w:rPr>
          <w:szCs w:val="20"/>
        </w:rPr>
        <w:t>The project will be implemented through the National Implementation Modality (NIM). As all projects funded through the vertical funds</w:t>
      </w:r>
      <w:r w:rsidR="00B64B69">
        <w:rPr>
          <w:szCs w:val="20"/>
        </w:rPr>
        <w:t xml:space="preserve"> in Montenegro</w:t>
      </w:r>
      <w:r w:rsidRPr="004870C7">
        <w:rPr>
          <w:szCs w:val="20"/>
        </w:rPr>
        <w:t xml:space="preserve">, up to 2021, were implemented through Direct Implementation Modality (DIM), there is a risk related to the capacities of the IP – Ministry of Ecology, Spatial Planning and Urbanism – regarding project implementation and management. </w:t>
      </w:r>
    </w:p>
    <w:p w14:paraId="2271F90E" w14:textId="77777777" w:rsidR="00C06C83" w:rsidRPr="004870C7" w:rsidRDefault="00783DEB" w:rsidP="00783DEB">
      <w:pPr>
        <w:spacing w:after="0"/>
        <w:rPr>
          <w:szCs w:val="20"/>
        </w:rPr>
      </w:pPr>
      <w:r w:rsidRPr="004870C7">
        <w:rPr>
          <w:szCs w:val="20"/>
        </w:rPr>
        <w:t>In order to mitigate the risk, both PCAT and HACT were conducted, showing mid and low risk, respectively. In addition, during preparation of the propos</w:t>
      </w:r>
      <w:r w:rsidR="00C06C83" w:rsidRPr="004870C7">
        <w:rPr>
          <w:szCs w:val="20"/>
        </w:rPr>
        <w:t>a</w:t>
      </w:r>
      <w:r w:rsidRPr="004870C7">
        <w:rPr>
          <w:szCs w:val="20"/>
        </w:rPr>
        <w:t>l for GEF 7, national STAR allocation</w:t>
      </w:r>
      <w:r w:rsidR="00C06C83" w:rsidRPr="004870C7">
        <w:rPr>
          <w:szCs w:val="20"/>
        </w:rPr>
        <w:t xml:space="preserve"> (submission on-going)</w:t>
      </w:r>
      <w:r w:rsidRPr="004870C7">
        <w:rPr>
          <w:szCs w:val="20"/>
        </w:rPr>
        <w:t>, certain set of capacity building activities has been envisaged, in order to increase capacities of the IP and equip them with the skills necessary for impl</w:t>
      </w:r>
      <w:r w:rsidR="00C06C83" w:rsidRPr="004870C7">
        <w:rPr>
          <w:szCs w:val="20"/>
        </w:rPr>
        <w:t xml:space="preserve">ementation </w:t>
      </w:r>
      <w:r w:rsidRPr="004870C7">
        <w:rPr>
          <w:szCs w:val="20"/>
        </w:rPr>
        <w:t xml:space="preserve">of GEF funded projects. </w:t>
      </w:r>
    </w:p>
    <w:p w14:paraId="19894993" w14:textId="70EF5748" w:rsidR="00C06C83" w:rsidRPr="004870C7" w:rsidRDefault="00931242" w:rsidP="00783DEB">
      <w:pPr>
        <w:spacing w:after="0"/>
        <w:rPr>
          <w:szCs w:val="20"/>
        </w:rPr>
      </w:pPr>
      <w:r w:rsidRPr="004870C7">
        <w:rPr>
          <w:szCs w:val="20"/>
        </w:rPr>
        <w:t xml:space="preserve">This will be closely monitored during regular stop checks by UNDP as supervising entity and will be reported/mitigated accordingly. </w:t>
      </w:r>
    </w:p>
    <w:p w14:paraId="00572E00" w14:textId="4334A858" w:rsidR="00C06C83" w:rsidRPr="004870C7" w:rsidRDefault="00C06C83" w:rsidP="00783DEB">
      <w:pPr>
        <w:spacing w:after="0"/>
        <w:rPr>
          <w:szCs w:val="20"/>
        </w:rPr>
      </w:pPr>
      <w:r w:rsidRPr="004870C7">
        <w:rPr>
          <w:szCs w:val="20"/>
        </w:rPr>
        <w:t xml:space="preserve">Certain risks are also related to the impacts of Covid 19 pandemics. Currently, Montenegro is one of the most affected countries in Europe, with very high infection rate. However, very strict measures are in place for quite some time, and figures are showing slow improvement. In addition, immunization process is on-going, and having in mind size of the country, the pace of vaccination process seems satisfactory. Although all civil servants get used to on-line work up to now, due to high infection rate, the process of project implementation might be slowed down at time. </w:t>
      </w:r>
    </w:p>
    <w:p w14:paraId="6AAE6F21" w14:textId="3DFA80E7" w:rsidR="00673472" w:rsidRPr="004870C7" w:rsidRDefault="00C06C83" w:rsidP="00783DEB">
      <w:pPr>
        <w:spacing w:after="0"/>
        <w:rPr>
          <w:szCs w:val="20"/>
        </w:rPr>
      </w:pPr>
      <w:r w:rsidRPr="004870C7">
        <w:rPr>
          <w:szCs w:val="20"/>
        </w:rPr>
        <w:t>Politically, after the national elections held on 30</w:t>
      </w:r>
      <w:r w:rsidRPr="004870C7">
        <w:rPr>
          <w:szCs w:val="20"/>
          <w:vertAlign w:val="superscript"/>
        </w:rPr>
        <w:t>th</w:t>
      </w:r>
      <w:r w:rsidRPr="004870C7">
        <w:rPr>
          <w:szCs w:val="20"/>
        </w:rPr>
        <w:t xml:space="preserve"> April 2020, significant changes took place at all levels in Montenegro (Parliament, Government, expert institutions, local authorities). </w:t>
      </w:r>
      <w:r w:rsidR="00673472" w:rsidRPr="004870C7">
        <w:rPr>
          <w:szCs w:val="20"/>
        </w:rPr>
        <w:t xml:space="preserve">The Government was established in December 2020, but even eight months after the elections, </w:t>
      </w:r>
      <w:r w:rsidRPr="004870C7">
        <w:rPr>
          <w:szCs w:val="20"/>
        </w:rPr>
        <w:t>political situation</w:t>
      </w:r>
      <w:r w:rsidR="00673472" w:rsidRPr="004870C7">
        <w:rPr>
          <w:szCs w:val="20"/>
        </w:rPr>
        <w:t xml:space="preserve"> in the country </w:t>
      </w:r>
      <w:r w:rsidRPr="004870C7">
        <w:rPr>
          <w:szCs w:val="20"/>
        </w:rPr>
        <w:t xml:space="preserve">is </w:t>
      </w:r>
      <w:r w:rsidR="00673472" w:rsidRPr="004870C7">
        <w:rPr>
          <w:szCs w:val="20"/>
        </w:rPr>
        <w:t xml:space="preserve">not </w:t>
      </w:r>
      <w:r w:rsidRPr="004870C7">
        <w:rPr>
          <w:szCs w:val="20"/>
        </w:rPr>
        <w:t>stable</w:t>
      </w:r>
      <w:r w:rsidR="00673472" w:rsidRPr="004870C7">
        <w:rPr>
          <w:szCs w:val="20"/>
        </w:rPr>
        <w:t>. This might influence project implementation at some point but will be closely monitored by UNDP, in order to suggest proper mitigation measures.</w:t>
      </w:r>
    </w:p>
    <w:p w14:paraId="4E2FE955" w14:textId="77777777" w:rsidR="00673472" w:rsidRPr="004870C7" w:rsidRDefault="00673472" w:rsidP="00783DEB">
      <w:pPr>
        <w:spacing w:after="0"/>
        <w:rPr>
          <w:szCs w:val="20"/>
        </w:rPr>
      </w:pPr>
    </w:p>
    <w:p w14:paraId="659352CF" w14:textId="2E67CDC5" w:rsidR="00783DEB" w:rsidRPr="004870C7" w:rsidRDefault="00673472" w:rsidP="00783DEB">
      <w:pPr>
        <w:spacing w:after="0"/>
        <w:rPr>
          <w:szCs w:val="20"/>
        </w:rPr>
      </w:pPr>
      <w:r w:rsidRPr="004870C7">
        <w:rPr>
          <w:szCs w:val="20"/>
        </w:rPr>
        <w:t xml:space="preserve">Full Risk Log is provided in the Annex </w:t>
      </w:r>
      <w:r w:rsidR="00370E72" w:rsidRPr="004870C7">
        <w:rPr>
          <w:szCs w:val="20"/>
        </w:rPr>
        <w:t>5</w:t>
      </w:r>
      <w:r w:rsidRPr="004870C7">
        <w:rPr>
          <w:szCs w:val="20"/>
        </w:rPr>
        <w:t xml:space="preserve">. </w:t>
      </w:r>
    </w:p>
    <w:p w14:paraId="10089DF7" w14:textId="1F174815" w:rsidR="00783DEB" w:rsidRPr="004870C7" w:rsidRDefault="00783DEB" w:rsidP="001354E3">
      <w:pPr>
        <w:spacing w:after="0"/>
        <w:jc w:val="left"/>
        <w:rPr>
          <w:szCs w:val="20"/>
          <w:u w:val="single"/>
        </w:rPr>
      </w:pPr>
    </w:p>
    <w:p w14:paraId="6263F62F" w14:textId="77777777" w:rsidR="002B707A" w:rsidRPr="004870C7" w:rsidRDefault="002B707A" w:rsidP="002B707A">
      <w:bookmarkStart w:id="12" w:name="_Hlk71026347"/>
      <w:r w:rsidRPr="004870C7">
        <w:t>With regards to social and environmental risks, it should be noted that project is exempted from the Social and Environmental Screening Procedure (SESP) as its function and activities correspond to the following exemption criteria of the SESP guidelines:</w:t>
      </w:r>
    </w:p>
    <w:p w14:paraId="2FE8411E" w14:textId="77777777" w:rsidR="002B707A" w:rsidRPr="004870C7" w:rsidRDefault="002B707A" w:rsidP="002B707A">
      <w:r w:rsidRPr="004870C7">
        <w:t>a)</w:t>
      </w:r>
      <w:r w:rsidRPr="004870C7">
        <w:tab/>
        <w:t xml:space="preserve">Preparation and dissemination of reports, documents, and communication materials (preparation, printing and submission of Fourth NC and BUR to the UNFCCC) and </w:t>
      </w:r>
    </w:p>
    <w:p w14:paraId="7C16DFC8" w14:textId="77777777" w:rsidR="002B707A" w:rsidRPr="004870C7" w:rsidRDefault="002B707A" w:rsidP="002B707A">
      <w:r w:rsidRPr="004870C7">
        <w:t>b)</w:t>
      </w:r>
      <w:r w:rsidRPr="004870C7">
        <w:tab/>
        <w:t>Organization of an event, workshop, training (Inception Workshop, stakeholder consultations, validation workshops, etc.).</w:t>
      </w:r>
    </w:p>
    <w:p w14:paraId="1493EB3A" w14:textId="77777777" w:rsidR="002B707A" w:rsidRPr="004870C7" w:rsidRDefault="002B707A" w:rsidP="002B707A"/>
    <w:p w14:paraId="70E4F28C" w14:textId="6CFE55C4" w:rsidR="002B707A" w:rsidRPr="004870C7" w:rsidRDefault="002B707A" w:rsidP="002B707A">
      <w:r w:rsidRPr="004870C7">
        <w:t xml:space="preserve">Even without screening, UNDP’s Social and Environmental Standards remain relevant. The implementation of the project will not imply any stress or damage to the environment, marginalized groups, neither will cause deterioration </w:t>
      </w:r>
      <w:r w:rsidRPr="004870C7">
        <w:lastRenderedPageBreak/>
        <w:t xml:space="preserve">of the social and/or environmental situation in </w:t>
      </w:r>
      <w:r w:rsidR="004D65A9">
        <w:t>Montenegro</w:t>
      </w:r>
      <w:r w:rsidRPr="004870C7">
        <w:t>. The design of the trainings and workshops will reflect application of human rights principles, gender equality and women’s empowerment, and environmental sustainability in order to meet UNDP’s Social and Environmental Standards.</w:t>
      </w:r>
    </w:p>
    <w:bookmarkEnd w:id="12"/>
    <w:p w14:paraId="726229C7" w14:textId="77777777" w:rsidR="00783DEB" w:rsidRPr="004870C7" w:rsidRDefault="00783DEB" w:rsidP="001354E3">
      <w:pPr>
        <w:spacing w:after="0"/>
        <w:jc w:val="left"/>
        <w:rPr>
          <w:szCs w:val="20"/>
          <w:u w:val="single"/>
        </w:rPr>
      </w:pPr>
    </w:p>
    <w:p w14:paraId="170B3004" w14:textId="6DCEBDE1" w:rsidR="005A09BF" w:rsidRPr="004870C7" w:rsidRDefault="00A572FB" w:rsidP="00673472">
      <w:pPr>
        <w:spacing w:after="0"/>
        <w:jc w:val="left"/>
        <w:rPr>
          <w:i/>
        </w:rPr>
      </w:pPr>
      <w:r w:rsidRPr="004870C7">
        <w:rPr>
          <w:szCs w:val="20"/>
          <w:u w:val="single"/>
        </w:rPr>
        <w:t>Stakeholder engagement</w:t>
      </w:r>
      <w:r w:rsidR="00222B46" w:rsidRPr="004870C7">
        <w:rPr>
          <w:szCs w:val="20"/>
          <w:u w:val="single"/>
        </w:rPr>
        <w:t xml:space="preserve"> and south-south cooperation</w:t>
      </w:r>
      <w:r w:rsidR="00707A93" w:rsidRPr="004870C7">
        <w:rPr>
          <w:szCs w:val="20"/>
        </w:rPr>
        <w:t xml:space="preserve">: </w:t>
      </w:r>
    </w:p>
    <w:p w14:paraId="16B1A817" w14:textId="77777777" w:rsidR="005A09BF" w:rsidRPr="004870C7" w:rsidRDefault="005A09BF" w:rsidP="00F04492">
      <w:pPr>
        <w:spacing w:after="0"/>
        <w:jc w:val="left"/>
        <w:rPr>
          <w:i/>
        </w:rPr>
      </w:pPr>
    </w:p>
    <w:p w14:paraId="57646A1F" w14:textId="77777777" w:rsidR="00E27FBF" w:rsidRPr="004870C7" w:rsidRDefault="00E27FBF" w:rsidP="00E27FBF">
      <w:pPr>
        <w:pStyle w:val="Footer"/>
        <w:rPr>
          <w:iCs/>
          <w:color w:val="000000"/>
          <w:szCs w:val="20"/>
        </w:rPr>
      </w:pPr>
      <w:r w:rsidRPr="004870C7">
        <w:rPr>
          <w:iCs/>
          <w:color w:val="000000"/>
          <w:szCs w:val="20"/>
        </w:rPr>
        <w:t>Stakeholder involvement and consultation processes are critical to the success of the project. An effective engagement of key stakeholders is envisaged during project preparation, implementation, monitoring and evaluation to enhance ownership of the NC process and makes the report more responsive to national needs. The project proposal intends to strengthen stakeholder’s participation to collectively participate in addressing climate change issues and challenges in Montenegro. The stakeholders of the project are expected to come from a wide range of backgrounds, including line ministries and agencies, local communities, local authorities and NGOs, mass-media, research institutions, private sector and international organizations, with particular emphasis on related sectors.</w:t>
      </w:r>
    </w:p>
    <w:p w14:paraId="5CAB9C41" w14:textId="77777777" w:rsidR="00673472" w:rsidRPr="004870C7" w:rsidRDefault="00673472" w:rsidP="006A0DE6">
      <w:pPr>
        <w:spacing w:after="0"/>
        <w:rPr>
          <w:iCs/>
        </w:rPr>
      </w:pPr>
    </w:p>
    <w:p w14:paraId="3228E7DC" w14:textId="1A120395" w:rsidR="006A0DE6" w:rsidRPr="004870C7" w:rsidRDefault="00673472" w:rsidP="006A0DE6">
      <w:pPr>
        <w:spacing w:after="0"/>
        <w:rPr>
          <w:iCs/>
        </w:rPr>
      </w:pPr>
      <w:r w:rsidRPr="004870C7">
        <w:rPr>
          <w:iCs/>
        </w:rPr>
        <w:t xml:space="preserve">Detailed Stakeholders’ Engagement Plan, with </w:t>
      </w:r>
      <w:r w:rsidR="006A0DE6" w:rsidRPr="004870C7">
        <w:rPr>
          <w:iCs/>
        </w:rPr>
        <w:t>full list of stakeholders, together with their roles within the project implementation</w:t>
      </w:r>
      <w:r w:rsidRPr="004870C7">
        <w:rPr>
          <w:iCs/>
        </w:rPr>
        <w:t>,</w:t>
      </w:r>
      <w:r w:rsidR="006A0DE6" w:rsidRPr="004870C7">
        <w:rPr>
          <w:iCs/>
        </w:rPr>
        <w:t xml:space="preserve"> can be found in Annex </w:t>
      </w:r>
      <w:r w:rsidR="00370E72" w:rsidRPr="004870C7">
        <w:rPr>
          <w:iCs/>
        </w:rPr>
        <w:t>7</w:t>
      </w:r>
      <w:r w:rsidR="006A0DE6" w:rsidRPr="004870C7">
        <w:rPr>
          <w:iCs/>
        </w:rPr>
        <w:t>.</w:t>
      </w:r>
    </w:p>
    <w:p w14:paraId="2B643F94" w14:textId="77777777" w:rsidR="005A09BF" w:rsidRPr="004870C7" w:rsidRDefault="005A09BF" w:rsidP="006A0DE6">
      <w:pPr>
        <w:spacing w:after="0"/>
        <w:rPr>
          <w:iCs/>
        </w:rPr>
      </w:pPr>
    </w:p>
    <w:p w14:paraId="748A0DC4" w14:textId="29A6095A" w:rsidR="00F04492" w:rsidRPr="004870C7" w:rsidRDefault="00F04492" w:rsidP="006A0DE6">
      <w:pPr>
        <w:spacing w:after="0"/>
        <w:rPr>
          <w:i/>
          <w:szCs w:val="20"/>
        </w:rPr>
      </w:pPr>
      <w:r w:rsidRPr="004870C7">
        <w:t xml:space="preserve">In addition, to bring the voice of </w:t>
      </w:r>
      <w:r w:rsidR="006A0DE6" w:rsidRPr="004870C7">
        <w:t>Montenegro</w:t>
      </w:r>
      <w:r w:rsidRPr="004870C7">
        <w:t xml:space="preserve"> to global and regional fora, the project will explore opportunities for meaningful participation in specific events where UNDP could support engagement with the global development discourse </w:t>
      </w:r>
      <w:r w:rsidR="006A0DE6" w:rsidRPr="004870C7">
        <w:t xml:space="preserve">on climate change, its impacts and mitigation potentials. </w:t>
      </w:r>
      <w:r w:rsidRPr="004870C7">
        <w:t xml:space="preserve">The project will furthermore provide opportunities for regional cooperation with countries that are implementing initiatives on </w:t>
      </w:r>
      <w:r w:rsidR="006A0DE6" w:rsidRPr="004870C7">
        <w:rPr>
          <w:iCs/>
        </w:rPr>
        <w:t>climate change reporting</w:t>
      </w:r>
      <w:r w:rsidRPr="004870C7">
        <w:t xml:space="preserve"> in geopolitical, social and environmental contexts relevant to the proposed project in </w:t>
      </w:r>
      <w:r w:rsidR="006A0DE6" w:rsidRPr="004870C7">
        <w:rPr>
          <w:iCs/>
        </w:rPr>
        <w:t>Montenegro.</w:t>
      </w:r>
    </w:p>
    <w:p w14:paraId="35C4097A" w14:textId="77777777" w:rsidR="00393350" w:rsidRPr="004870C7" w:rsidRDefault="00393350" w:rsidP="001354E3">
      <w:pPr>
        <w:spacing w:after="0"/>
        <w:jc w:val="left"/>
        <w:rPr>
          <w:rFonts w:cs="Segoe UI"/>
          <w:i/>
          <w:color w:val="000000"/>
          <w:szCs w:val="20"/>
        </w:rPr>
      </w:pPr>
    </w:p>
    <w:p w14:paraId="3CAC4B70" w14:textId="335F65BC" w:rsidR="00E349BA" w:rsidRPr="004870C7" w:rsidRDefault="00EB69AE" w:rsidP="001354E3">
      <w:pPr>
        <w:spacing w:after="0"/>
        <w:jc w:val="left"/>
        <w:rPr>
          <w:i/>
          <w:sz w:val="24"/>
        </w:rPr>
      </w:pPr>
      <w:r w:rsidRPr="004870C7">
        <w:rPr>
          <w:szCs w:val="20"/>
          <w:u w:val="single"/>
        </w:rPr>
        <w:t>Gender equality and Women’s Empowerment</w:t>
      </w:r>
      <w:r w:rsidRPr="004870C7">
        <w:rPr>
          <w:szCs w:val="20"/>
        </w:rPr>
        <w:t xml:space="preserve">:  </w:t>
      </w:r>
    </w:p>
    <w:p w14:paraId="38D6D16B" w14:textId="61C19A55" w:rsidR="005F6003" w:rsidRPr="004870C7" w:rsidRDefault="005F6003" w:rsidP="001354E3">
      <w:pPr>
        <w:spacing w:after="0"/>
        <w:jc w:val="left"/>
        <w:rPr>
          <w:i/>
          <w:szCs w:val="20"/>
        </w:rPr>
      </w:pPr>
    </w:p>
    <w:p w14:paraId="5468CBD0" w14:textId="77777777" w:rsidR="006A0DE6" w:rsidRPr="004870C7" w:rsidRDefault="006A0DE6" w:rsidP="00673472">
      <w:pPr>
        <w:spacing w:after="0"/>
        <w:rPr>
          <w:iCs/>
          <w:szCs w:val="20"/>
        </w:rPr>
      </w:pPr>
      <w:r w:rsidRPr="004870C7">
        <w:rPr>
          <w:iCs/>
          <w:szCs w:val="20"/>
        </w:rPr>
        <w:t>For several analysis included in the project (national circumstances, vulnerability assessment), gender-disaggregated data from national statistical office and international approved sources for the following topics: education level, employment by economy sectors and other sectors identified as GHG emitters, gender pay gap (general and by sectors), economic empowerment, and health among others will be included.</w:t>
      </w:r>
    </w:p>
    <w:p w14:paraId="535FD183" w14:textId="77777777" w:rsidR="006A0DE6" w:rsidRPr="004870C7" w:rsidRDefault="006A0DE6" w:rsidP="00673472">
      <w:pPr>
        <w:spacing w:after="0"/>
        <w:rPr>
          <w:iCs/>
          <w:szCs w:val="20"/>
        </w:rPr>
      </w:pPr>
    </w:p>
    <w:p w14:paraId="1DF57E76" w14:textId="50CD2D67" w:rsidR="006A0DE6" w:rsidRPr="004870C7" w:rsidRDefault="006A0DE6" w:rsidP="00673472">
      <w:pPr>
        <w:spacing w:after="0"/>
        <w:rPr>
          <w:iCs/>
          <w:szCs w:val="20"/>
        </w:rPr>
      </w:pPr>
      <w:r w:rsidRPr="004870C7">
        <w:rPr>
          <w:iCs/>
          <w:szCs w:val="20"/>
        </w:rPr>
        <w:t xml:space="preserve">Women should have equal participation and active involvement in climate change related decision planning, implementation and policy making processes of all climate change related activities. Moreover, considering that climate change is human induced, strategies must consider the gendered patterns of production and consumption in order to be feasible and applicable. </w:t>
      </w:r>
      <w:r w:rsidR="00801C17" w:rsidRPr="004870C7">
        <w:rPr>
          <w:iCs/>
          <w:szCs w:val="20"/>
        </w:rPr>
        <w:t>Thus, u</w:t>
      </w:r>
      <w:r w:rsidRPr="004870C7">
        <w:rPr>
          <w:iCs/>
          <w:szCs w:val="20"/>
        </w:rPr>
        <w:t xml:space="preserve">nderstanding how the unique social and economic roles played by women </w:t>
      </w:r>
      <w:r w:rsidR="00801C17" w:rsidRPr="004870C7">
        <w:rPr>
          <w:iCs/>
          <w:szCs w:val="20"/>
        </w:rPr>
        <w:t>is</w:t>
      </w:r>
      <w:r w:rsidRPr="004870C7">
        <w:rPr>
          <w:iCs/>
          <w:szCs w:val="20"/>
        </w:rPr>
        <w:t xml:space="preserve"> crucial to the effective implementation of sectoral and national projects and programmes </w:t>
      </w:r>
      <w:r w:rsidR="00801C17" w:rsidRPr="004870C7">
        <w:rPr>
          <w:iCs/>
          <w:szCs w:val="20"/>
        </w:rPr>
        <w:t xml:space="preserve">related to climate change </w:t>
      </w:r>
      <w:r w:rsidRPr="004870C7">
        <w:rPr>
          <w:iCs/>
          <w:szCs w:val="20"/>
        </w:rPr>
        <w:t>adapt</w:t>
      </w:r>
      <w:r w:rsidR="00801C17" w:rsidRPr="004870C7">
        <w:rPr>
          <w:iCs/>
          <w:szCs w:val="20"/>
        </w:rPr>
        <w:t xml:space="preserve">ation </w:t>
      </w:r>
      <w:r w:rsidRPr="004870C7">
        <w:rPr>
          <w:iCs/>
          <w:szCs w:val="20"/>
        </w:rPr>
        <w:t>and mitiga</w:t>
      </w:r>
      <w:r w:rsidR="004A00E2" w:rsidRPr="004870C7">
        <w:rPr>
          <w:iCs/>
          <w:szCs w:val="20"/>
        </w:rPr>
        <w:t>tion</w:t>
      </w:r>
      <w:r w:rsidRPr="004870C7">
        <w:rPr>
          <w:iCs/>
          <w:szCs w:val="20"/>
        </w:rPr>
        <w:t>.</w:t>
      </w:r>
    </w:p>
    <w:p w14:paraId="6E012F9C" w14:textId="77777777" w:rsidR="006A0DE6" w:rsidRPr="004870C7" w:rsidRDefault="006A0DE6" w:rsidP="00673472">
      <w:pPr>
        <w:spacing w:after="0"/>
        <w:rPr>
          <w:iCs/>
          <w:szCs w:val="20"/>
        </w:rPr>
      </w:pPr>
    </w:p>
    <w:p w14:paraId="3E8C5D19" w14:textId="77777777" w:rsidR="006A0DE6" w:rsidRPr="004870C7" w:rsidRDefault="006A0DE6" w:rsidP="00673472">
      <w:pPr>
        <w:spacing w:after="0"/>
        <w:rPr>
          <w:iCs/>
          <w:szCs w:val="20"/>
        </w:rPr>
      </w:pPr>
      <w:r w:rsidRPr="004870C7">
        <w:rPr>
          <w:iCs/>
          <w:szCs w:val="20"/>
        </w:rPr>
        <w:t xml:space="preserve">In this sense, the project team will adopt a human rights-based approach and ensure that gender equality and women’s empowerment concerns are prioritized throughout project cycle management. Inclusive approach will be reflected in implementation of project activities, affirmative actions will be taken to provide gender balance within all committees, meetings, trainings and equal opportunities and gender parity will be respected throughout recruitment and selection processes. The UNDP gender marker will be applied, and the project will be rated in terms of its gender relevance again during the inception phase. Since climate change affects women and men differently, this differentiation will be clearly reflected throughout project reporting as well as in project outcomes. The project will also ensure that data disaggregated by gender and wherever applicable by age is consistently included in all reports. </w:t>
      </w:r>
    </w:p>
    <w:p w14:paraId="29DC5170" w14:textId="77777777" w:rsidR="006A0DE6" w:rsidRPr="004870C7" w:rsidRDefault="006A0DE6" w:rsidP="00673472">
      <w:pPr>
        <w:spacing w:after="0"/>
        <w:rPr>
          <w:iCs/>
          <w:szCs w:val="20"/>
        </w:rPr>
      </w:pPr>
    </w:p>
    <w:p w14:paraId="042D08DD" w14:textId="77777777" w:rsidR="006A0DE6" w:rsidRPr="004870C7" w:rsidRDefault="006A0DE6" w:rsidP="00673472">
      <w:pPr>
        <w:spacing w:after="0"/>
        <w:rPr>
          <w:iCs/>
          <w:szCs w:val="20"/>
        </w:rPr>
      </w:pPr>
      <w:r w:rsidRPr="004870C7">
        <w:rPr>
          <w:iCs/>
          <w:szCs w:val="20"/>
        </w:rPr>
        <w:t xml:space="preserve">While the role of women in climate change strategies has still not received enough attention, the project will try to incorporate a gender perspective in the identification, description and analysis on adaptation actions where relevant. Attempts shall be made during the project inception work to clearly identify ways and means of engaging women in climate change actions implementation. </w:t>
      </w:r>
    </w:p>
    <w:p w14:paraId="4EB9AB39" w14:textId="77777777" w:rsidR="006A0DE6" w:rsidRPr="004870C7" w:rsidRDefault="006A0DE6" w:rsidP="00673472">
      <w:pPr>
        <w:spacing w:after="0"/>
        <w:rPr>
          <w:iCs/>
          <w:szCs w:val="20"/>
        </w:rPr>
      </w:pPr>
    </w:p>
    <w:p w14:paraId="43EA989A" w14:textId="77777777" w:rsidR="006A0DE6" w:rsidRPr="004870C7" w:rsidRDefault="006A0DE6" w:rsidP="00673472">
      <w:pPr>
        <w:spacing w:after="0"/>
        <w:rPr>
          <w:iCs/>
          <w:szCs w:val="20"/>
        </w:rPr>
      </w:pPr>
      <w:r w:rsidRPr="004870C7">
        <w:rPr>
          <w:iCs/>
          <w:szCs w:val="20"/>
        </w:rPr>
        <w:t>Furthermore, the project will ensure data collection and analyses disaggregated by gender, age, and socially disadvantaged to allow development of recommendations for specific gender targeted and inclusive policies, mainly related to adaptation dimensions of vulnerable communities. There is still a concern on discrepancy between policies on national level and adaptation interventions on community level, including gender specific vulnerability. The role of gender in adaptation activities, policy formulation and knowledge will be analysed. The expected findings will build recommendations for most of the project outcomes (V&amp;A, Mitigation, etc.).</w:t>
      </w:r>
    </w:p>
    <w:p w14:paraId="19ED1F31" w14:textId="77777777" w:rsidR="006A0DE6" w:rsidRPr="004870C7" w:rsidRDefault="006A0DE6" w:rsidP="00673472">
      <w:pPr>
        <w:spacing w:after="0"/>
        <w:rPr>
          <w:iCs/>
          <w:szCs w:val="20"/>
        </w:rPr>
      </w:pPr>
    </w:p>
    <w:p w14:paraId="38D26D13" w14:textId="77777777" w:rsidR="006A0DE6" w:rsidRPr="004870C7" w:rsidRDefault="006A0DE6" w:rsidP="00673472">
      <w:pPr>
        <w:spacing w:after="0"/>
        <w:rPr>
          <w:iCs/>
          <w:szCs w:val="20"/>
        </w:rPr>
      </w:pPr>
      <w:r w:rsidRPr="004870C7">
        <w:rPr>
          <w:iCs/>
          <w:szCs w:val="20"/>
        </w:rPr>
        <w:t>The SNCs and the FBUR did not deal with gender mainstreaming issues. However, the SBUR and TNC started the process, leaving more room for its improvement in the 4NC/1BTR. While preparing the SBUR, the first of this kind analysis Women and Climate Change in Montenegro was carried out. The main conclusions of the study were the following:</w:t>
      </w:r>
    </w:p>
    <w:p w14:paraId="7BAF364F" w14:textId="77777777" w:rsidR="006A0DE6" w:rsidRPr="004870C7" w:rsidRDefault="006A0DE6" w:rsidP="00FA41FE">
      <w:pPr>
        <w:numPr>
          <w:ilvl w:val="0"/>
          <w:numId w:val="35"/>
        </w:numPr>
        <w:spacing w:after="0"/>
        <w:rPr>
          <w:iCs/>
          <w:szCs w:val="20"/>
        </w:rPr>
      </w:pPr>
      <w:r w:rsidRPr="004870C7">
        <w:rPr>
          <w:iCs/>
          <w:szCs w:val="20"/>
        </w:rPr>
        <w:t>by defining national legislation and adopting international conventions related to climate change on one side, as well as legislation and conventions regulating gender equality on the other hand, it is to be concluded that the legislation offers the basic framework for gender equality and climate change; however, the specific policies and measures are still missing, due to the insufficient preparedness of institutions to develop gender sensitive policies, measures and monitoring, as well as due to lack of relevant sex-disaggregated data.</w:t>
      </w:r>
    </w:p>
    <w:p w14:paraId="0BC36EB0" w14:textId="77777777" w:rsidR="006A0DE6" w:rsidRPr="004870C7" w:rsidRDefault="006A0DE6" w:rsidP="00FA41FE">
      <w:pPr>
        <w:numPr>
          <w:ilvl w:val="0"/>
          <w:numId w:val="35"/>
        </w:numPr>
        <w:spacing w:after="0"/>
        <w:rPr>
          <w:iCs/>
          <w:szCs w:val="20"/>
        </w:rPr>
      </w:pPr>
      <w:r w:rsidRPr="004870C7">
        <w:rPr>
          <w:iCs/>
          <w:szCs w:val="20"/>
        </w:rPr>
        <w:t>in the coming period, it is necessary to keep in mind that men and women are equally involved in making decisions about climate change. It is also necessary to work on building the capacity of institutions to better understand the different needs of all actors in society, including men and women, as well as the needs of socially vulnerable groups, and to be prepared to act in accordance with climate change policies and the needs of the aforementioned social groups. On the other hand, it is necessary to work on raising public awareness of climate change and their impact on all social groups, so that the total population of Montenegro can adapt to climate change in a timely manner and contribute to mitigating their activities.</w:t>
      </w:r>
    </w:p>
    <w:p w14:paraId="6379FE52" w14:textId="77777777" w:rsidR="006A0DE6" w:rsidRPr="004870C7" w:rsidRDefault="006A0DE6" w:rsidP="00FA41FE">
      <w:pPr>
        <w:numPr>
          <w:ilvl w:val="0"/>
          <w:numId w:val="35"/>
        </w:numPr>
        <w:spacing w:after="0"/>
        <w:rPr>
          <w:iCs/>
          <w:szCs w:val="20"/>
        </w:rPr>
      </w:pPr>
      <w:r w:rsidRPr="004870C7">
        <w:rPr>
          <w:iCs/>
          <w:szCs w:val="20"/>
        </w:rPr>
        <w:t>For this purpose, it is necessary to conduct gender analyses and collect gender-disaggregated statistics in order to be able to plan, implement and monitor programs and projects within the defined measures for climate change adaptation and mitigation, and which take into account different needs and possibilities of both men and women. Mitigation actions focused on reduction of greenhouse gas emissions, particularly targeting energy efficiency in residential and public sector, although not specifically targeting women, has positive health impacts on indoor comfort in homes and schools, reducing energy costs burden on family and public budgets. Similarly, the adaptation projects reducing climate risks contribute to economic wellbeing of rural communities and indirectly women and children.</w:t>
      </w:r>
    </w:p>
    <w:p w14:paraId="5A1E8C52" w14:textId="77777777" w:rsidR="006A0DE6" w:rsidRPr="004870C7" w:rsidRDefault="006A0DE6" w:rsidP="006A0DE6">
      <w:pPr>
        <w:spacing w:after="0"/>
        <w:jc w:val="left"/>
        <w:rPr>
          <w:iCs/>
          <w:szCs w:val="20"/>
        </w:rPr>
      </w:pPr>
    </w:p>
    <w:p w14:paraId="60F9FB48" w14:textId="77777777" w:rsidR="006A0DE6" w:rsidRPr="004870C7" w:rsidRDefault="006A0DE6" w:rsidP="006A0DE6">
      <w:pPr>
        <w:spacing w:after="0"/>
        <w:rPr>
          <w:iCs/>
          <w:szCs w:val="20"/>
        </w:rPr>
      </w:pPr>
      <w:r w:rsidRPr="004870C7">
        <w:rPr>
          <w:iCs/>
          <w:szCs w:val="20"/>
        </w:rPr>
        <w:t>Gender Equality Index was developed by MONSTAT in 2018/2019, upon the initiative of the Ministry for Human and Minority Rights. With the index value of 55 (out of maximum 100 points), Montenegro scored lower than the EU average of 67.4. At the national level, women in Montenegro are least equal when it comes to Power, followed sequentially by Time, Knowledge, Money and Work. Highest equality was observed in the domain of Health. Greatest differences between the EU countries and Montenegro were recorded in the domains of Money and Power.</w:t>
      </w:r>
    </w:p>
    <w:p w14:paraId="7129DCA9" w14:textId="77777777" w:rsidR="006A0DE6" w:rsidRPr="004870C7" w:rsidRDefault="006A0DE6" w:rsidP="006A0DE6">
      <w:pPr>
        <w:spacing w:after="0"/>
        <w:rPr>
          <w:iCs/>
          <w:szCs w:val="20"/>
        </w:rPr>
      </w:pPr>
    </w:p>
    <w:p w14:paraId="6E03219F" w14:textId="77777777" w:rsidR="006A0DE6" w:rsidRPr="004870C7" w:rsidRDefault="006A0DE6" w:rsidP="006A0DE6">
      <w:pPr>
        <w:spacing w:after="0"/>
        <w:rPr>
          <w:iCs/>
          <w:szCs w:val="20"/>
        </w:rPr>
      </w:pPr>
      <w:r w:rsidRPr="004870C7">
        <w:rPr>
          <w:iCs/>
          <w:szCs w:val="20"/>
        </w:rPr>
        <w:t>Under the auspices of UNDP/UN Environment Global Support Program, the Third Regional Workshop on Supporting the Integration of Gender Considerations into MRV/Transparency Processes in the Western Balkan Countries and Lebanon was held in Podgorica / Montenegro, beginning 2020.</w:t>
      </w:r>
    </w:p>
    <w:p w14:paraId="773A2699" w14:textId="77777777" w:rsidR="00801C17" w:rsidRPr="004870C7" w:rsidRDefault="00801C17" w:rsidP="006A0DE6">
      <w:pPr>
        <w:spacing w:after="0"/>
        <w:rPr>
          <w:iCs/>
          <w:szCs w:val="20"/>
        </w:rPr>
      </w:pPr>
    </w:p>
    <w:p w14:paraId="6A24BEB4" w14:textId="4AC4F878" w:rsidR="006A0DE6" w:rsidRPr="004870C7" w:rsidRDefault="006A0DE6" w:rsidP="006A0DE6">
      <w:pPr>
        <w:spacing w:after="0"/>
        <w:rPr>
          <w:iCs/>
          <w:szCs w:val="20"/>
        </w:rPr>
      </w:pPr>
      <w:r w:rsidRPr="004870C7">
        <w:rPr>
          <w:iCs/>
          <w:szCs w:val="20"/>
        </w:rPr>
        <w:t>The 4NC/</w:t>
      </w:r>
      <w:r w:rsidR="00801C17" w:rsidRPr="004870C7">
        <w:rPr>
          <w:iCs/>
          <w:szCs w:val="20"/>
        </w:rPr>
        <w:t>1</w:t>
      </w:r>
      <w:r w:rsidRPr="004870C7">
        <w:rPr>
          <w:iCs/>
          <w:szCs w:val="20"/>
        </w:rPr>
        <w:t>BTR project will incorporate a gender perspective in understanding how the different social roles and economic status of men and women affect and are affected differently by climate change adaptation and mitigation actions. In doing so the role of women will be considered not only as beneficiaries of climate change related activities but also in the decision-making process. During its inception phase</w:t>
      </w:r>
      <w:r w:rsidRPr="004870C7">
        <w:rPr>
          <w:iCs/>
          <w:szCs w:val="20"/>
          <w:vertAlign w:val="superscript"/>
        </w:rPr>
        <w:footnoteReference w:id="3"/>
      </w:r>
      <w:r w:rsidRPr="004870C7">
        <w:rPr>
          <w:iCs/>
          <w:szCs w:val="20"/>
        </w:rPr>
        <w:t xml:space="preserve">, project will prepare and finalize </w:t>
      </w:r>
      <w:hyperlink r:id="rId16" w:history="1">
        <w:r w:rsidRPr="004870C7">
          <w:rPr>
            <w:rStyle w:val="Hyperlink"/>
            <w:iCs/>
            <w:szCs w:val="20"/>
          </w:rPr>
          <w:t xml:space="preserve">Gender analysis </w:t>
        </w:r>
        <w:r w:rsidRPr="004870C7">
          <w:rPr>
            <w:rStyle w:val="Hyperlink"/>
            <w:iCs/>
            <w:szCs w:val="20"/>
          </w:rPr>
          <w:lastRenderedPageBreak/>
          <w:t>and Gender action plan</w:t>
        </w:r>
      </w:hyperlink>
      <w:r w:rsidRPr="004870C7">
        <w:rPr>
          <w:iCs/>
          <w:szCs w:val="20"/>
          <w:vertAlign w:val="superscript"/>
        </w:rPr>
        <w:footnoteReference w:id="4"/>
      </w:r>
      <w:r w:rsidRPr="004870C7">
        <w:rPr>
          <w:iCs/>
          <w:szCs w:val="20"/>
        </w:rPr>
        <w:t xml:space="preserve"> in line with </w:t>
      </w:r>
      <w:hyperlink r:id="rId17" w:history="1">
        <w:r w:rsidRPr="004870C7">
          <w:rPr>
            <w:rStyle w:val="Hyperlink"/>
            <w:iCs/>
            <w:szCs w:val="20"/>
          </w:rPr>
          <w:t>the GEF SEC’s policy on gender equality</w:t>
        </w:r>
      </w:hyperlink>
      <w:r w:rsidRPr="004870C7">
        <w:rPr>
          <w:iCs/>
          <w:szCs w:val="20"/>
          <w:vertAlign w:val="superscript"/>
        </w:rPr>
        <w:footnoteReference w:id="5"/>
      </w:r>
      <w:r w:rsidRPr="004870C7">
        <w:rPr>
          <w:iCs/>
          <w:szCs w:val="20"/>
        </w:rPr>
        <w:t xml:space="preserve"> and </w:t>
      </w:r>
      <w:hyperlink r:id="rId18" w:history="1">
        <w:r w:rsidRPr="004870C7">
          <w:rPr>
            <w:rStyle w:val="Hyperlink"/>
            <w:iCs/>
            <w:szCs w:val="20"/>
          </w:rPr>
          <w:t>Guidance to advance gender equality in GEF projects and programs</w:t>
        </w:r>
      </w:hyperlink>
      <w:r w:rsidRPr="004870C7">
        <w:rPr>
          <w:iCs/>
          <w:szCs w:val="20"/>
          <w:vertAlign w:val="superscript"/>
        </w:rPr>
        <w:footnoteReference w:id="6"/>
      </w:r>
      <w:r w:rsidRPr="004870C7">
        <w:rPr>
          <w:iCs/>
          <w:szCs w:val="20"/>
        </w:rPr>
        <w:t>.  The gender indicators will be selected for evaluation of the gender dimension in climate change adaptation and mitigation, as well as in the process of the project implementation. Balance will be sought for all activities under the project. Efforts will be made to have acceptable gender representation in project management structures (committees, institutional frameworks, technical team) and capacity building actions (trainings, workshops). With regard to the technical team to be hired to implement the enabling activity, gender balance will be also considered. The project will also perform a study, analysing the role of gender in adaptation and mitigation activities, policy formulation and knowledge.</w:t>
      </w:r>
    </w:p>
    <w:p w14:paraId="1EB4E776" w14:textId="77777777" w:rsidR="006A0DE6" w:rsidRPr="004870C7" w:rsidRDefault="006A0DE6" w:rsidP="006A0DE6">
      <w:pPr>
        <w:spacing w:after="0"/>
        <w:rPr>
          <w:iCs/>
          <w:szCs w:val="20"/>
        </w:rPr>
      </w:pPr>
    </w:p>
    <w:p w14:paraId="1D204986" w14:textId="0CE7BA37" w:rsidR="006A0DE6" w:rsidRPr="004870C7" w:rsidRDefault="006A0DE6" w:rsidP="006A0DE6">
      <w:pPr>
        <w:spacing w:after="0"/>
        <w:rPr>
          <w:iCs/>
          <w:szCs w:val="20"/>
        </w:rPr>
      </w:pPr>
      <w:r w:rsidRPr="004870C7">
        <w:rPr>
          <w:iCs/>
          <w:szCs w:val="20"/>
        </w:rPr>
        <w:t>The guidance on gender integration through the NCs and BURs developed by the Global Support Programme (GSP) through UNDP and in collaboration with UNEP and GEF will be applied. An inclusion of stakeholders who understand gender issues in relation to their sectors – will be conducted to assess and understand where deeper analysis and action is required. The areas where data and information on gender and climate change is not available will be identified with priorities and steps to fill gaps.</w:t>
      </w:r>
    </w:p>
    <w:p w14:paraId="30DF828F" w14:textId="77777777" w:rsidR="00801C17" w:rsidRPr="004870C7" w:rsidRDefault="00801C17" w:rsidP="006A0DE6">
      <w:pPr>
        <w:spacing w:after="0"/>
        <w:rPr>
          <w:iCs/>
          <w:szCs w:val="20"/>
        </w:rPr>
      </w:pPr>
    </w:p>
    <w:p w14:paraId="5B8F8420" w14:textId="2EA78DB7" w:rsidR="006A0DE6" w:rsidRPr="004870C7" w:rsidRDefault="006A0DE6" w:rsidP="006A0DE6">
      <w:pPr>
        <w:spacing w:after="0"/>
        <w:jc w:val="left"/>
        <w:rPr>
          <w:iCs/>
          <w:szCs w:val="20"/>
        </w:rPr>
      </w:pPr>
      <w:r w:rsidRPr="004870C7">
        <w:rPr>
          <w:iCs/>
          <w:szCs w:val="20"/>
        </w:rPr>
        <w:t>Gender analysis will follow the structure of five priority areas of UNFCCC Gender Action:</w:t>
      </w:r>
    </w:p>
    <w:p w14:paraId="2BCCB378" w14:textId="77777777" w:rsidR="006A0DE6" w:rsidRPr="004870C7" w:rsidRDefault="006A0DE6" w:rsidP="00FA41FE">
      <w:pPr>
        <w:numPr>
          <w:ilvl w:val="0"/>
          <w:numId w:val="36"/>
        </w:numPr>
        <w:spacing w:after="0"/>
        <w:jc w:val="left"/>
        <w:rPr>
          <w:iCs/>
          <w:szCs w:val="20"/>
        </w:rPr>
      </w:pPr>
      <w:r w:rsidRPr="004870C7">
        <w:rPr>
          <w:iCs/>
          <w:szCs w:val="20"/>
        </w:rPr>
        <w:t>Capacity building, knowledge sharing and communications</w:t>
      </w:r>
    </w:p>
    <w:p w14:paraId="670DC607" w14:textId="77777777" w:rsidR="006A0DE6" w:rsidRPr="004870C7" w:rsidRDefault="006A0DE6" w:rsidP="00FA41FE">
      <w:pPr>
        <w:numPr>
          <w:ilvl w:val="0"/>
          <w:numId w:val="36"/>
        </w:numPr>
        <w:spacing w:after="0"/>
        <w:jc w:val="left"/>
        <w:rPr>
          <w:iCs/>
          <w:szCs w:val="20"/>
        </w:rPr>
      </w:pPr>
      <w:r w:rsidRPr="004870C7">
        <w:rPr>
          <w:iCs/>
          <w:szCs w:val="20"/>
        </w:rPr>
        <w:t>Gender balance, participation and women´s leadership</w:t>
      </w:r>
    </w:p>
    <w:p w14:paraId="1672E6AB" w14:textId="77777777" w:rsidR="006A0DE6" w:rsidRPr="004870C7" w:rsidRDefault="006A0DE6" w:rsidP="00FA41FE">
      <w:pPr>
        <w:numPr>
          <w:ilvl w:val="0"/>
          <w:numId w:val="36"/>
        </w:numPr>
        <w:spacing w:after="0"/>
        <w:jc w:val="left"/>
        <w:rPr>
          <w:iCs/>
          <w:szCs w:val="20"/>
        </w:rPr>
      </w:pPr>
      <w:r w:rsidRPr="004870C7">
        <w:rPr>
          <w:iCs/>
          <w:szCs w:val="20"/>
        </w:rPr>
        <w:t>Coherence</w:t>
      </w:r>
    </w:p>
    <w:p w14:paraId="5107E5B8" w14:textId="77777777" w:rsidR="006A0DE6" w:rsidRPr="004870C7" w:rsidRDefault="006A0DE6" w:rsidP="00FA41FE">
      <w:pPr>
        <w:numPr>
          <w:ilvl w:val="0"/>
          <w:numId w:val="36"/>
        </w:numPr>
        <w:spacing w:after="0"/>
        <w:jc w:val="left"/>
        <w:rPr>
          <w:iCs/>
          <w:szCs w:val="20"/>
        </w:rPr>
      </w:pPr>
      <w:r w:rsidRPr="004870C7">
        <w:rPr>
          <w:iCs/>
          <w:szCs w:val="20"/>
        </w:rPr>
        <w:t>Gender responsive implementation and means of implementation</w:t>
      </w:r>
    </w:p>
    <w:p w14:paraId="37049524" w14:textId="77777777" w:rsidR="006A0DE6" w:rsidRPr="004870C7" w:rsidRDefault="006A0DE6" w:rsidP="00FA41FE">
      <w:pPr>
        <w:numPr>
          <w:ilvl w:val="0"/>
          <w:numId w:val="36"/>
        </w:numPr>
        <w:spacing w:after="0"/>
        <w:jc w:val="left"/>
        <w:rPr>
          <w:iCs/>
          <w:szCs w:val="20"/>
        </w:rPr>
      </w:pPr>
      <w:r w:rsidRPr="004870C7">
        <w:rPr>
          <w:iCs/>
          <w:szCs w:val="20"/>
        </w:rPr>
        <w:t>Monitoring and reporting.</w:t>
      </w:r>
    </w:p>
    <w:p w14:paraId="2CECC997" w14:textId="77777777" w:rsidR="00E96310" w:rsidRPr="004870C7" w:rsidRDefault="00E96310" w:rsidP="006A0DE6">
      <w:pPr>
        <w:spacing w:after="0"/>
        <w:jc w:val="left"/>
        <w:rPr>
          <w:iCs/>
          <w:szCs w:val="20"/>
        </w:rPr>
      </w:pPr>
    </w:p>
    <w:p w14:paraId="5B4AAA82" w14:textId="2438AA5F" w:rsidR="006A0DE6" w:rsidRPr="004870C7" w:rsidRDefault="006A0DE6" w:rsidP="006A0DE6">
      <w:pPr>
        <w:spacing w:after="0"/>
        <w:jc w:val="left"/>
        <w:rPr>
          <w:iCs/>
          <w:szCs w:val="20"/>
        </w:rPr>
      </w:pPr>
      <w:r w:rsidRPr="004870C7">
        <w:rPr>
          <w:iCs/>
          <w:szCs w:val="20"/>
        </w:rPr>
        <w:t>The Project will provide capacity-building in relation to NC/BTR purpose and content, gender issues in environment and their role in the NC/BTR processes if necessary.</w:t>
      </w:r>
    </w:p>
    <w:p w14:paraId="753D34DF" w14:textId="48224BC4" w:rsidR="009D371A" w:rsidRPr="004870C7" w:rsidRDefault="009D371A" w:rsidP="001354E3">
      <w:pPr>
        <w:spacing w:after="0"/>
        <w:jc w:val="left"/>
        <w:rPr>
          <w:iCs/>
          <w:szCs w:val="20"/>
        </w:rPr>
      </w:pPr>
    </w:p>
    <w:p w14:paraId="0CC9B21B" w14:textId="09A072BB" w:rsidR="004D1EBD" w:rsidRPr="004870C7" w:rsidRDefault="002067D4" w:rsidP="001354E3">
      <w:pPr>
        <w:spacing w:after="0"/>
        <w:jc w:val="left"/>
        <w:rPr>
          <w:i/>
          <w:szCs w:val="20"/>
        </w:rPr>
      </w:pPr>
      <w:r w:rsidRPr="004870C7">
        <w:rPr>
          <w:rFonts w:cs="Calibri"/>
          <w:szCs w:val="20"/>
          <w:u w:val="single"/>
        </w:rPr>
        <w:t xml:space="preserve">Innovativeness, </w:t>
      </w:r>
      <w:r w:rsidR="00E334FF" w:rsidRPr="004870C7">
        <w:rPr>
          <w:rFonts w:cs="Calibri"/>
          <w:szCs w:val="20"/>
          <w:u w:val="single"/>
        </w:rPr>
        <w:t>S</w:t>
      </w:r>
      <w:r w:rsidR="00075FD8" w:rsidRPr="004870C7">
        <w:rPr>
          <w:rFonts w:cs="Calibri"/>
          <w:szCs w:val="20"/>
          <w:u w:val="single"/>
        </w:rPr>
        <w:t xml:space="preserve">ustainability and </w:t>
      </w:r>
      <w:r w:rsidR="00E334FF" w:rsidRPr="004870C7">
        <w:rPr>
          <w:rFonts w:cs="Calibri"/>
          <w:szCs w:val="20"/>
          <w:u w:val="single"/>
        </w:rPr>
        <w:t>P</w:t>
      </w:r>
      <w:r w:rsidRPr="004870C7">
        <w:rPr>
          <w:rFonts w:cs="Calibri"/>
          <w:szCs w:val="20"/>
          <w:u w:val="single"/>
        </w:rPr>
        <w:t xml:space="preserve">otential for </w:t>
      </w:r>
      <w:r w:rsidR="00E334FF" w:rsidRPr="004870C7">
        <w:rPr>
          <w:rFonts w:cs="Calibri"/>
          <w:szCs w:val="20"/>
          <w:u w:val="single"/>
        </w:rPr>
        <w:t>S</w:t>
      </w:r>
      <w:r w:rsidR="00075FD8" w:rsidRPr="004870C7">
        <w:rPr>
          <w:rFonts w:cs="Calibri"/>
          <w:szCs w:val="20"/>
          <w:u w:val="single"/>
        </w:rPr>
        <w:t>caling Up</w:t>
      </w:r>
      <w:r w:rsidR="00591D26" w:rsidRPr="004870C7">
        <w:rPr>
          <w:rFonts w:cs="Calibri"/>
          <w:szCs w:val="20"/>
        </w:rPr>
        <w:t xml:space="preserve">: </w:t>
      </w:r>
    </w:p>
    <w:p w14:paraId="30C25D39" w14:textId="77777777" w:rsidR="00C258C3" w:rsidRPr="004870C7" w:rsidRDefault="00C258C3" w:rsidP="001354E3">
      <w:pPr>
        <w:spacing w:after="0"/>
        <w:jc w:val="left"/>
        <w:rPr>
          <w:rStyle w:val="Hyperlink"/>
          <w:i/>
          <w:color w:val="auto"/>
          <w:szCs w:val="20"/>
          <w:u w:val="none"/>
        </w:rPr>
      </w:pPr>
    </w:p>
    <w:p w14:paraId="5C761775" w14:textId="77777777" w:rsidR="002838F6" w:rsidRPr="004870C7" w:rsidRDefault="002838F6" w:rsidP="002838F6">
      <w:pPr>
        <w:spacing w:after="0"/>
        <w:rPr>
          <w:iCs/>
          <w:szCs w:val="20"/>
        </w:rPr>
      </w:pPr>
      <w:r w:rsidRPr="004870C7">
        <w:rPr>
          <w:iCs/>
          <w:szCs w:val="20"/>
        </w:rPr>
        <w:t>The Ministry of Ecology, Spatial Planning and Urbanism has established a strong cooperation network among the different national actors from both governmental and non-governmental sector. The Ministry of Economy, the Ministry of Agriculture, Forestry and Waters, Ministry of Capital Investments, Ministry of Interior - Directorate for Emergency Management, Environmental Protection Agency, Institute of Hydrometeorology and Seismology, State Statistical Office and Institute of Public Health are very much involved in the national process related to climate change reporting, and specifically in GHG inventory process and adaptation activities.</w:t>
      </w:r>
    </w:p>
    <w:p w14:paraId="47753965" w14:textId="77777777" w:rsidR="002838F6" w:rsidRPr="004870C7" w:rsidRDefault="002838F6" w:rsidP="002838F6">
      <w:pPr>
        <w:spacing w:after="0"/>
        <w:jc w:val="left"/>
        <w:rPr>
          <w:iCs/>
          <w:szCs w:val="20"/>
        </w:rPr>
      </w:pPr>
    </w:p>
    <w:p w14:paraId="38F7A48C" w14:textId="77777777" w:rsidR="002838F6" w:rsidRPr="004870C7" w:rsidRDefault="002838F6" w:rsidP="002838F6">
      <w:pPr>
        <w:spacing w:after="0"/>
        <w:rPr>
          <w:iCs/>
          <w:szCs w:val="20"/>
        </w:rPr>
      </w:pPr>
      <w:r w:rsidRPr="004870C7">
        <w:rPr>
          <w:iCs/>
          <w:szCs w:val="20"/>
        </w:rPr>
        <w:t xml:space="preserve">In order to maximize the benefits of the enabling activity, the platform </w:t>
      </w:r>
      <w:hyperlink r:id="rId19" w:history="1">
        <w:r w:rsidRPr="004870C7">
          <w:rPr>
            <w:rStyle w:val="Hyperlink"/>
            <w:iCs/>
            <w:szCs w:val="20"/>
          </w:rPr>
          <w:t>www.unfccc.me</w:t>
        </w:r>
      </w:hyperlink>
      <w:r w:rsidRPr="004870C7">
        <w:rPr>
          <w:iCs/>
          <w:szCs w:val="20"/>
        </w:rPr>
        <w:t xml:space="preserve"> will be used, through which the required information and mainstreaming will be conducted. </w:t>
      </w:r>
    </w:p>
    <w:p w14:paraId="6456C4C0" w14:textId="77777777" w:rsidR="002838F6" w:rsidRPr="004870C7" w:rsidRDefault="002838F6" w:rsidP="002838F6">
      <w:pPr>
        <w:spacing w:after="0"/>
        <w:rPr>
          <w:iCs/>
          <w:szCs w:val="20"/>
        </w:rPr>
      </w:pPr>
    </w:p>
    <w:p w14:paraId="27C8DD47" w14:textId="017CF36E" w:rsidR="002838F6" w:rsidRPr="004870C7" w:rsidRDefault="002838F6" w:rsidP="002838F6">
      <w:pPr>
        <w:spacing w:after="0"/>
        <w:rPr>
          <w:iCs/>
          <w:szCs w:val="20"/>
        </w:rPr>
      </w:pPr>
      <w:r w:rsidRPr="004870C7">
        <w:rPr>
          <w:iCs/>
          <w:szCs w:val="20"/>
        </w:rPr>
        <w:lastRenderedPageBreak/>
        <w:t xml:space="preserve">The National Council for the Sustainable Development, Climate Change and Coastal Area Management (NCSDCCCAM) is headed by the State President and composed of the representatives from the ministries of Economy, Ecology, Spatial Planning and Urbanism, Finance, Agriculture, Forestry and Waters, Capital Investments, local authorities, Banks' Association, Business Alliance, Union of the Employers, NGOs and the Academic sector. The mentioned institutions are the main stakeholders of this enabling activity, as well. In addition, through the working groups, which operate as a support to the National Council, national partners will be encouraged to consider participation of the gender representative in the working group on climate change.  In addition to the NCSDCCCAM members, the national power utility (EPCG), the Industrialists' private sector (KAP, Iron Works, SMEs), The Institute for Forests (IfF) and Biotechnology Faculty (BF) are all part of the larger stakeholder circle. The civil society and the private sector will participate through the technical meetings/workshops, similar to the process adopted in the preparation of previous National Communications, as well as the Technology Needs Assessment (TNA) report. </w:t>
      </w:r>
    </w:p>
    <w:p w14:paraId="2B7F1C04" w14:textId="77777777" w:rsidR="00C258C3" w:rsidRPr="004870C7" w:rsidRDefault="00C258C3" w:rsidP="001354E3">
      <w:pPr>
        <w:spacing w:after="0"/>
        <w:jc w:val="left"/>
        <w:rPr>
          <w:rStyle w:val="Hyperlink"/>
          <w:iCs/>
          <w:color w:val="auto"/>
          <w:szCs w:val="20"/>
          <w:u w:val="none"/>
        </w:rPr>
      </w:pPr>
    </w:p>
    <w:p w14:paraId="466283CB" w14:textId="77777777" w:rsidR="009F19D4" w:rsidRPr="004870C7" w:rsidRDefault="009F19D4" w:rsidP="001354E3">
      <w:pPr>
        <w:pStyle w:val="Heading1"/>
        <w:numPr>
          <w:ilvl w:val="0"/>
          <w:numId w:val="0"/>
        </w:numPr>
        <w:spacing w:before="0" w:after="0"/>
        <w:jc w:val="left"/>
        <w:rPr>
          <w:rFonts w:cs="Segoe UI"/>
          <w:color w:val="000000"/>
        </w:rPr>
        <w:sectPr w:rsidR="009F19D4" w:rsidRPr="004870C7" w:rsidSect="000B3D4F">
          <w:footerReference w:type="default" r:id="rId20"/>
          <w:footerReference w:type="first" r:id="rId21"/>
          <w:pgSz w:w="12240" w:h="15840" w:code="1"/>
          <w:pgMar w:top="1440" w:right="1440" w:bottom="1440" w:left="1440" w:header="720" w:footer="432" w:gutter="0"/>
          <w:cols w:space="708"/>
          <w:titlePg/>
          <w:docGrid w:linePitch="360"/>
        </w:sectPr>
      </w:pPr>
      <w:bookmarkStart w:id="13" w:name="_Toc207800912"/>
    </w:p>
    <w:p w14:paraId="4C66E161" w14:textId="77777777" w:rsidR="0053408E" w:rsidRPr="004870C7" w:rsidRDefault="0053408E" w:rsidP="003B2A79">
      <w:pPr>
        <w:pStyle w:val="Heading1"/>
        <w:spacing w:before="0" w:after="60"/>
        <w:rPr>
          <w:rFonts w:ascii="Calibri" w:hAnsi="Calibri"/>
          <w:szCs w:val="28"/>
        </w:rPr>
      </w:pPr>
      <w:bookmarkStart w:id="14" w:name="_Toc75965549"/>
      <w:r w:rsidRPr="004870C7">
        <w:rPr>
          <w:rFonts w:ascii="Calibri" w:hAnsi="Calibri"/>
          <w:szCs w:val="28"/>
        </w:rPr>
        <w:lastRenderedPageBreak/>
        <w:t>Project Results Framework</w:t>
      </w:r>
      <w:bookmarkEnd w:id="14"/>
    </w:p>
    <w:p w14:paraId="6D08ADC8" w14:textId="4EF1A509" w:rsidR="000A013F" w:rsidRPr="004870C7" w:rsidRDefault="000A013F" w:rsidP="00FD449E">
      <w:pPr>
        <w:spacing w:after="0"/>
        <w:jc w:val="left"/>
        <w:rPr>
          <w:rFonts w:asciiTheme="minorHAnsi" w:hAnsiTheme="minorHAnsi" w:cstheme="minorHAnsi"/>
          <w:i/>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8"/>
      </w:tblGrid>
      <w:tr w:rsidR="006A3EF6" w:rsidRPr="004870C7" w14:paraId="63B65B52" w14:textId="77777777" w:rsidTr="0032777B">
        <w:trPr>
          <w:trHeight w:val="305"/>
        </w:trPr>
        <w:tc>
          <w:tcPr>
            <w:tcW w:w="14418" w:type="dxa"/>
            <w:shd w:val="pct12" w:color="auto" w:fill="auto"/>
          </w:tcPr>
          <w:p w14:paraId="09C19D25" w14:textId="77777777" w:rsidR="006A3EF6" w:rsidRPr="004870C7" w:rsidRDefault="006A3EF6" w:rsidP="0032777B">
            <w:pPr>
              <w:rPr>
                <w:sz w:val="18"/>
                <w:szCs w:val="18"/>
              </w:rPr>
            </w:pPr>
            <w:r w:rsidRPr="004870C7">
              <w:rPr>
                <w:b/>
                <w:sz w:val="18"/>
                <w:szCs w:val="18"/>
              </w:rPr>
              <w:t xml:space="preserve">This project will contribute to the following Sustainable Development Goal (s):  </w:t>
            </w:r>
            <w:r w:rsidRPr="004870C7">
              <w:rPr>
                <w:i/>
                <w:sz w:val="18"/>
                <w:szCs w:val="18"/>
              </w:rPr>
              <w:t>SDG 13 – Climate Action</w:t>
            </w:r>
          </w:p>
        </w:tc>
      </w:tr>
      <w:tr w:rsidR="006A3EF6" w:rsidRPr="004870C7" w14:paraId="51D25FB5" w14:textId="77777777" w:rsidTr="0032777B">
        <w:trPr>
          <w:trHeight w:val="287"/>
        </w:trPr>
        <w:tc>
          <w:tcPr>
            <w:tcW w:w="14418" w:type="dxa"/>
            <w:shd w:val="pct12" w:color="auto" w:fill="auto"/>
          </w:tcPr>
          <w:p w14:paraId="65DA528C" w14:textId="77777777" w:rsidR="006A3EF6" w:rsidRPr="004870C7" w:rsidRDefault="006A3EF6" w:rsidP="0032777B">
            <w:pPr>
              <w:rPr>
                <w:b/>
                <w:bCs/>
                <w:sz w:val="18"/>
                <w:szCs w:val="18"/>
              </w:rPr>
            </w:pPr>
            <w:r w:rsidRPr="004870C7">
              <w:rPr>
                <w:b/>
                <w:bCs/>
                <w:sz w:val="18"/>
                <w:szCs w:val="18"/>
              </w:rPr>
              <w:t xml:space="preserve">This project will contribute to the following country outcome (UNDAF/CPD, RPD, GPD): </w:t>
            </w:r>
          </w:p>
          <w:p w14:paraId="039DA512" w14:textId="77777777" w:rsidR="006A3EF6" w:rsidRPr="004870C7" w:rsidRDefault="006A3EF6" w:rsidP="0032777B">
            <w:pPr>
              <w:rPr>
                <w:b/>
                <w:iCs/>
                <w:szCs w:val="20"/>
              </w:rPr>
            </w:pPr>
            <w:r w:rsidRPr="004870C7">
              <w:rPr>
                <w:bCs/>
                <w:iCs/>
                <w:sz w:val="18"/>
                <w:szCs w:val="18"/>
              </w:rPr>
              <w:t>CPD Outcome2: By 2021, the people of Montenegro are benefiting from sustainable management of cultural and natural resources, combating climate change, and disaster-risk reduction.</w:t>
            </w:r>
          </w:p>
        </w:tc>
      </w:tr>
    </w:tbl>
    <w:p w14:paraId="298FB93A" w14:textId="77777777" w:rsidR="006A3EF6" w:rsidRPr="004870C7" w:rsidRDefault="006A3EF6" w:rsidP="00FD449E">
      <w:pPr>
        <w:spacing w:after="0"/>
        <w:jc w:val="left"/>
        <w:rPr>
          <w:rFonts w:asciiTheme="minorHAnsi" w:hAnsiTheme="minorHAnsi" w:cstheme="minorHAnsi"/>
          <w:i/>
          <w:szCs w:val="20"/>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3432"/>
        <w:gridCol w:w="24"/>
        <w:gridCol w:w="24"/>
        <w:gridCol w:w="12"/>
        <w:gridCol w:w="18"/>
        <w:gridCol w:w="6"/>
        <w:gridCol w:w="2136"/>
        <w:gridCol w:w="12"/>
        <w:gridCol w:w="6"/>
        <w:gridCol w:w="6"/>
        <w:gridCol w:w="12"/>
        <w:gridCol w:w="5472"/>
      </w:tblGrid>
      <w:tr w:rsidR="00ED339E" w:rsidRPr="004870C7" w14:paraId="3C214BBD" w14:textId="77777777" w:rsidTr="00205BC1">
        <w:trPr>
          <w:trHeight w:val="544"/>
          <w:tblHeader/>
        </w:trPr>
        <w:tc>
          <w:tcPr>
            <w:tcW w:w="3325" w:type="dxa"/>
            <w:shd w:val="pct12" w:color="auto" w:fill="auto"/>
          </w:tcPr>
          <w:p w14:paraId="10D2068E" w14:textId="77777777" w:rsidR="00ED339E" w:rsidRPr="004870C7" w:rsidRDefault="00ED339E" w:rsidP="003B2A79">
            <w:pPr>
              <w:jc w:val="center"/>
              <w:rPr>
                <w:rFonts w:ascii="Times New Roman" w:hAnsi="Times New Roman"/>
                <w:b/>
                <w:bCs/>
                <w:sz w:val="18"/>
                <w:szCs w:val="18"/>
              </w:rPr>
            </w:pPr>
          </w:p>
        </w:tc>
        <w:tc>
          <w:tcPr>
            <w:tcW w:w="3510" w:type="dxa"/>
            <w:gridSpan w:val="5"/>
            <w:shd w:val="pct12" w:color="auto" w:fill="auto"/>
          </w:tcPr>
          <w:p w14:paraId="64521E92" w14:textId="77777777" w:rsidR="00ED339E" w:rsidRPr="004870C7" w:rsidRDefault="00ED339E" w:rsidP="003B2A79">
            <w:pPr>
              <w:jc w:val="center"/>
              <w:rPr>
                <w:b/>
                <w:bCs/>
                <w:sz w:val="18"/>
                <w:szCs w:val="18"/>
              </w:rPr>
            </w:pPr>
            <w:r w:rsidRPr="004870C7">
              <w:rPr>
                <w:b/>
                <w:bCs/>
                <w:sz w:val="18"/>
                <w:szCs w:val="18"/>
              </w:rPr>
              <w:t>Objective and Outcome Indicators</w:t>
            </w:r>
          </w:p>
          <w:p w14:paraId="3D6BAE97" w14:textId="761DAB96" w:rsidR="00ED339E" w:rsidRPr="004870C7" w:rsidRDefault="00ED339E" w:rsidP="00033EB5">
            <w:pPr>
              <w:jc w:val="center"/>
              <w:rPr>
                <w:b/>
                <w:bCs/>
                <w:sz w:val="18"/>
                <w:szCs w:val="18"/>
              </w:rPr>
            </w:pPr>
            <w:r w:rsidRPr="004870C7">
              <w:rPr>
                <w:b/>
                <w:bCs/>
                <w:sz w:val="18"/>
                <w:szCs w:val="18"/>
              </w:rPr>
              <w:t>(no more than a total of 20 indicators)</w:t>
            </w:r>
          </w:p>
        </w:tc>
        <w:tc>
          <w:tcPr>
            <w:tcW w:w="2160" w:type="dxa"/>
            <w:gridSpan w:val="4"/>
            <w:shd w:val="pct12" w:color="auto" w:fill="auto"/>
            <w:vAlign w:val="center"/>
          </w:tcPr>
          <w:p w14:paraId="6715B1BE" w14:textId="6752F9EA" w:rsidR="00ED339E" w:rsidRPr="004870C7" w:rsidRDefault="00ED339E" w:rsidP="005910E1">
            <w:pPr>
              <w:jc w:val="center"/>
              <w:rPr>
                <w:b/>
                <w:bCs/>
                <w:sz w:val="18"/>
                <w:szCs w:val="18"/>
              </w:rPr>
            </w:pPr>
            <w:r w:rsidRPr="004870C7">
              <w:rPr>
                <w:b/>
                <w:bCs/>
                <w:sz w:val="18"/>
                <w:szCs w:val="18"/>
              </w:rPr>
              <w:t>Baseline</w:t>
            </w:r>
          </w:p>
          <w:p w14:paraId="4650AC86" w14:textId="31AC7AC9" w:rsidR="00ED339E" w:rsidRPr="004870C7" w:rsidRDefault="00ED339E" w:rsidP="005910E1">
            <w:pPr>
              <w:jc w:val="center"/>
              <w:rPr>
                <w:b/>
                <w:bCs/>
                <w:sz w:val="18"/>
                <w:szCs w:val="18"/>
              </w:rPr>
            </w:pPr>
          </w:p>
        </w:tc>
        <w:tc>
          <w:tcPr>
            <w:tcW w:w="5490" w:type="dxa"/>
            <w:gridSpan w:val="3"/>
            <w:shd w:val="pct12" w:color="auto" w:fill="auto"/>
            <w:vAlign w:val="center"/>
          </w:tcPr>
          <w:p w14:paraId="7F2CF52E" w14:textId="77777777" w:rsidR="00ED339E" w:rsidRPr="004870C7" w:rsidRDefault="00ED339E" w:rsidP="005910E1">
            <w:pPr>
              <w:jc w:val="center"/>
              <w:rPr>
                <w:b/>
                <w:bCs/>
                <w:sz w:val="18"/>
                <w:szCs w:val="18"/>
              </w:rPr>
            </w:pPr>
            <w:r w:rsidRPr="004870C7">
              <w:rPr>
                <w:b/>
                <w:bCs/>
                <w:sz w:val="18"/>
                <w:szCs w:val="18"/>
              </w:rPr>
              <w:t>End of Project Target</w:t>
            </w:r>
          </w:p>
          <w:p w14:paraId="7AC6EA8E" w14:textId="49117CB3" w:rsidR="00ED339E" w:rsidRPr="004870C7" w:rsidRDefault="00ED339E" w:rsidP="005910E1">
            <w:pPr>
              <w:jc w:val="center"/>
              <w:rPr>
                <w:b/>
                <w:bCs/>
                <w:sz w:val="18"/>
                <w:szCs w:val="18"/>
              </w:rPr>
            </w:pPr>
          </w:p>
        </w:tc>
      </w:tr>
      <w:tr w:rsidR="00ED339E" w:rsidRPr="004870C7" w14:paraId="744FF6CC" w14:textId="77777777" w:rsidTr="00205BC1">
        <w:trPr>
          <w:trHeight w:val="665"/>
        </w:trPr>
        <w:tc>
          <w:tcPr>
            <w:tcW w:w="3325" w:type="dxa"/>
            <w:vMerge w:val="restart"/>
            <w:shd w:val="pct12" w:color="auto" w:fill="auto"/>
          </w:tcPr>
          <w:p w14:paraId="646358C4" w14:textId="5B1DC1EE" w:rsidR="00ED339E" w:rsidRPr="004870C7" w:rsidRDefault="00ED339E" w:rsidP="003B2A79">
            <w:pPr>
              <w:jc w:val="left"/>
              <w:rPr>
                <w:rFonts w:ascii="Times New Roman" w:hAnsi="Times New Roman"/>
                <w:b/>
                <w:bCs/>
                <w:sz w:val="18"/>
                <w:szCs w:val="18"/>
              </w:rPr>
            </w:pPr>
            <w:r w:rsidRPr="004870C7">
              <w:rPr>
                <w:rFonts w:ascii="Times New Roman" w:hAnsi="Times New Roman"/>
                <w:b/>
                <w:bCs/>
                <w:sz w:val="18"/>
                <w:szCs w:val="18"/>
              </w:rPr>
              <w:t>Project Objective:</w:t>
            </w:r>
          </w:p>
          <w:p w14:paraId="1FA59CA8" w14:textId="2F77A0AA" w:rsidR="00ED339E" w:rsidRPr="004870C7" w:rsidRDefault="00ED339E" w:rsidP="003B2A79">
            <w:pPr>
              <w:jc w:val="left"/>
              <w:rPr>
                <w:rFonts w:ascii="Times New Roman" w:hAnsi="Times New Roman"/>
                <w:b/>
                <w:bCs/>
                <w:sz w:val="18"/>
                <w:szCs w:val="18"/>
              </w:rPr>
            </w:pPr>
          </w:p>
          <w:p w14:paraId="1B5B661D" w14:textId="6B5E2E0C" w:rsidR="00ED339E" w:rsidRPr="004870C7" w:rsidRDefault="00ED339E" w:rsidP="003B2A79">
            <w:pPr>
              <w:jc w:val="left"/>
              <w:rPr>
                <w:rFonts w:ascii="Times New Roman" w:hAnsi="Times New Roman"/>
                <w:b/>
                <w:bCs/>
                <w:sz w:val="18"/>
                <w:szCs w:val="18"/>
              </w:rPr>
            </w:pPr>
            <w:r w:rsidRPr="004870C7">
              <w:rPr>
                <w:rFonts w:ascii="Times New Roman" w:hAnsi="Times New Roman"/>
                <w:b/>
                <w:bCs/>
                <w:sz w:val="18"/>
                <w:szCs w:val="18"/>
              </w:rPr>
              <w:t>To assist Government of Montenegro in preparation and submission of its Fourth National Communication and its First Biennial Transparency Report for the fulfilment of the obligations under the United Nations Framework Convention on Climate Change (UNFCCC)</w:t>
            </w:r>
          </w:p>
          <w:p w14:paraId="5A140268" w14:textId="77777777" w:rsidR="00ED339E" w:rsidRPr="004870C7" w:rsidRDefault="00ED339E" w:rsidP="003B2A79">
            <w:pPr>
              <w:jc w:val="left"/>
              <w:rPr>
                <w:rFonts w:ascii="Times New Roman" w:hAnsi="Times New Roman"/>
                <w:b/>
                <w:bCs/>
                <w:i/>
                <w:sz w:val="18"/>
                <w:szCs w:val="18"/>
              </w:rPr>
            </w:pPr>
          </w:p>
          <w:p w14:paraId="4CAD3FF3" w14:textId="77777777" w:rsidR="00ED339E" w:rsidRPr="004870C7" w:rsidRDefault="00ED339E" w:rsidP="003B2A79">
            <w:pPr>
              <w:jc w:val="left"/>
              <w:rPr>
                <w:rFonts w:ascii="Times New Roman" w:hAnsi="Times New Roman"/>
                <w:b/>
                <w:bCs/>
                <w:i/>
                <w:sz w:val="18"/>
                <w:szCs w:val="18"/>
              </w:rPr>
            </w:pPr>
          </w:p>
        </w:tc>
        <w:tc>
          <w:tcPr>
            <w:tcW w:w="3510" w:type="dxa"/>
            <w:gridSpan w:val="5"/>
          </w:tcPr>
          <w:p w14:paraId="7124CB0E" w14:textId="414B737B" w:rsidR="00ED339E" w:rsidRPr="004870C7" w:rsidRDefault="00ED339E" w:rsidP="00645A0A">
            <w:pPr>
              <w:jc w:val="left"/>
              <w:rPr>
                <w:bCs/>
                <w:i/>
                <w:sz w:val="18"/>
                <w:szCs w:val="18"/>
              </w:rPr>
            </w:pPr>
            <w:r w:rsidRPr="004870C7">
              <w:rPr>
                <w:b/>
                <w:bCs/>
                <w:sz w:val="18"/>
                <w:szCs w:val="18"/>
                <w:u w:val="single"/>
              </w:rPr>
              <w:t>Mandatory</w:t>
            </w:r>
            <w:r w:rsidRPr="004870C7">
              <w:rPr>
                <w:bCs/>
                <w:sz w:val="18"/>
                <w:szCs w:val="18"/>
                <w:u w:val="single"/>
              </w:rPr>
              <w:t xml:space="preserve"> Indicator 1:</w:t>
            </w:r>
            <w:r w:rsidRPr="004870C7">
              <w:rPr>
                <w:bCs/>
                <w:sz w:val="18"/>
                <w:szCs w:val="18"/>
              </w:rPr>
              <w:t xml:space="preserve">  # direct project beneficiaries disaggregated by gender (individual people)</w:t>
            </w:r>
          </w:p>
          <w:p w14:paraId="681CE121" w14:textId="2B2A12A8" w:rsidR="00ED339E" w:rsidRPr="004870C7" w:rsidRDefault="00ED339E" w:rsidP="00645A0A">
            <w:pPr>
              <w:jc w:val="left"/>
              <w:rPr>
                <w:bCs/>
                <w:sz w:val="18"/>
                <w:szCs w:val="18"/>
              </w:rPr>
            </w:pPr>
          </w:p>
        </w:tc>
        <w:tc>
          <w:tcPr>
            <w:tcW w:w="2160" w:type="dxa"/>
            <w:gridSpan w:val="4"/>
            <w:vAlign w:val="center"/>
          </w:tcPr>
          <w:p w14:paraId="36F5A022" w14:textId="319382A7" w:rsidR="00ED339E" w:rsidRPr="004870C7" w:rsidRDefault="00ED339E" w:rsidP="00C242E1">
            <w:pPr>
              <w:jc w:val="center"/>
              <w:rPr>
                <w:bCs/>
                <w:iCs/>
                <w:sz w:val="18"/>
                <w:szCs w:val="18"/>
              </w:rPr>
            </w:pPr>
            <w:r w:rsidRPr="004870C7">
              <w:rPr>
                <w:bCs/>
                <w:iCs/>
                <w:sz w:val="18"/>
                <w:szCs w:val="18"/>
              </w:rPr>
              <w:t>0</w:t>
            </w:r>
          </w:p>
        </w:tc>
        <w:tc>
          <w:tcPr>
            <w:tcW w:w="5490" w:type="dxa"/>
            <w:gridSpan w:val="3"/>
            <w:vAlign w:val="center"/>
          </w:tcPr>
          <w:p w14:paraId="74582352" w14:textId="0EA2F459" w:rsidR="00ED339E" w:rsidRPr="004870C7" w:rsidRDefault="00ED339E" w:rsidP="00150B4C">
            <w:pPr>
              <w:jc w:val="center"/>
              <w:rPr>
                <w:bCs/>
                <w:iCs/>
                <w:sz w:val="18"/>
                <w:szCs w:val="18"/>
              </w:rPr>
            </w:pPr>
            <w:r w:rsidRPr="004870C7">
              <w:rPr>
                <w:bCs/>
                <w:iCs/>
                <w:sz w:val="18"/>
                <w:szCs w:val="18"/>
              </w:rPr>
              <w:t>100</w:t>
            </w:r>
            <w:r w:rsidRPr="00BB7043">
              <w:rPr>
                <w:bCs/>
                <w:iCs/>
                <w:sz w:val="18"/>
                <w:szCs w:val="18"/>
              </w:rPr>
              <w:t>, out of which at least 50% are female</w:t>
            </w:r>
          </w:p>
        </w:tc>
      </w:tr>
      <w:tr w:rsidR="00ED339E" w:rsidRPr="004870C7" w14:paraId="60688651" w14:textId="77777777" w:rsidTr="00205BC1">
        <w:trPr>
          <w:trHeight w:val="305"/>
        </w:trPr>
        <w:tc>
          <w:tcPr>
            <w:tcW w:w="3325" w:type="dxa"/>
            <w:vMerge/>
            <w:shd w:val="pct12" w:color="auto" w:fill="auto"/>
          </w:tcPr>
          <w:p w14:paraId="3ABBF39C" w14:textId="77777777" w:rsidR="00ED339E" w:rsidRPr="004870C7" w:rsidRDefault="00ED339E" w:rsidP="000A5086">
            <w:pPr>
              <w:jc w:val="left"/>
              <w:rPr>
                <w:rFonts w:ascii="Times New Roman" w:hAnsi="Times New Roman"/>
                <w:b/>
                <w:bCs/>
                <w:sz w:val="18"/>
                <w:szCs w:val="18"/>
              </w:rPr>
            </w:pPr>
          </w:p>
        </w:tc>
        <w:tc>
          <w:tcPr>
            <w:tcW w:w="3510" w:type="dxa"/>
            <w:gridSpan w:val="5"/>
          </w:tcPr>
          <w:p w14:paraId="577D791E" w14:textId="03080349" w:rsidR="00ED339E" w:rsidRPr="004870C7" w:rsidRDefault="00ED339E" w:rsidP="000A5086">
            <w:pPr>
              <w:jc w:val="left"/>
              <w:rPr>
                <w:bCs/>
                <w:iCs/>
                <w:sz w:val="18"/>
                <w:szCs w:val="18"/>
              </w:rPr>
            </w:pPr>
            <w:r w:rsidRPr="004870C7">
              <w:rPr>
                <w:bCs/>
                <w:i/>
                <w:sz w:val="18"/>
                <w:szCs w:val="18"/>
              </w:rPr>
              <w:t xml:space="preserve">Indicator 2:  </w:t>
            </w:r>
            <w:r w:rsidRPr="004870C7">
              <w:rPr>
                <w:bCs/>
                <w:iCs/>
                <w:sz w:val="18"/>
                <w:szCs w:val="18"/>
              </w:rPr>
              <w:t xml:space="preserve">Fourth NC/First BTR submitted to UNFCCC </w:t>
            </w:r>
          </w:p>
        </w:tc>
        <w:tc>
          <w:tcPr>
            <w:tcW w:w="2160" w:type="dxa"/>
            <w:gridSpan w:val="4"/>
            <w:vAlign w:val="center"/>
          </w:tcPr>
          <w:p w14:paraId="039C5EC0" w14:textId="5EAD5603" w:rsidR="00ED339E" w:rsidRPr="004870C7" w:rsidRDefault="00ED339E" w:rsidP="00150B4C">
            <w:pPr>
              <w:jc w:val="center"/>
              <w:rPr>
                <w:bCs/>
                <w:iCs/>
                <w:sz w:val="18"/>
                <w:szCs w:val="18"/>
                <w:highlight w:val="yellow"/>
              </w:rPr>
            </w:pPr>
            <w:r w:rsidRPr="004870C7">
              <w:rPr>
                <w:bCs/>
                <w:iCs/>
                <w:sz w:val="18"/>
                <w:szCs w:val="18"/>
              </w:rPr>
              <w:t>3NC submitted in October 2020.</w:t>
            </w:r>
          </w:p>
        </w:tc>
        <w:tc>
          <w:tcPr>
            <w:tcW w:w="5490" w:type="dxa"/>
            <w:gridSpan w:val="3"/>
            <w:vAlign w:val="center"/>
          </w:tcPr>
          <w:p w14:paraId="0A650474" w14:textId="7C3658FC" w:rsidR="00ED339E" w:rsidRPr="004870C7" w:rsidRDefault="00ED339E" w:rsidP="00150B4C">
            <w:pPr>
              <w:jc w:val="center"/>
              <w:rPr>
                <w:bCs/>
                <w:iCs/>
                <w:sz w:val="18"/>
                <w:szCs w:val="18"/>
                <w:highlight w:val="yellow"/>
              </w:rPr>
            </w:pPr>
            <w:r w:rsidRPr="004870C7">
              <w:rPr>
                <w:bCs/>
                <w:iCs/>
                <w:sz w:val="18"/>
                <w:szCs w:val="18"/>
              </w:rPr>
              <w:t>4NC/1BTR developed and submitted to the UNFCCC by December 2024.</w:t>
            </w:r>
          </w:p>
        </w:tc>
      </w:tr>
      <w:tr w:rsidR="00152D60" w:rsidRPr="004870C7" w14:paraId="27D792C4" w14:textId="1253EAED" w:rsidTr="00152D60">
        <w:trPr>
          <w:trHeight w:val="575"/>
        </w:trPr>
        <w:tc>
          <w:tcPr>
            <w:tcW w:w="3325" w:type="dxa"/>
            <w:shd w:val="clear" w:color="auto" w:fill="E7E6E6" w:themeFill="background2"/>
          </w:tcPr>
          <w:p w14:paraId="24F5C9C3" w14:textId="767266FC" w:rsidR="00ED339E" w:rsidRPr="004870C7" w:rsidRDefault="00ED339E" w:rsidP="002B4FAC">
            <w:pPr>
              <w:jc w:val="left"/>
              <w:rPr>
                <w:rFonts w:ascii="Times New Roman" w:hAnsi="Times New Roman"/>
                <w:b/>
                <w:bCs/>
                <w:i/>
                <w:sz w:val="18"/>
                <w:szCs w:val="18"/>
              </w:rPr>
            </w:pPr>
            <w:r w:rsidRPr="004870C7">
              <w:rPr>
                <w:rFonts w:ascii="Times New Roman" w:hAnsi="Times New Roman"/>
                <w:b/>
                <w:bCs/>
                <w:sz w:val="18"/>
                <w:szCs w:val="18"/>
              </w:rPr>
              <w:t>Project component 1</w:t>
            </w:r>
          </w:p>
        </w:tc>
        <w:tc>
          <w:tcPr>
            <w:tcW w:w="11160" w:type="dxa"/>
            <w:gridSpan w:val="12"/>
            <w:tcBorders>
              <w:top w:val="nil"/>
              <w:bottom w:val="nil"/>
            </w:tcBorders>
            <w:shd w:val="clear" w:color="auto" w:fill="auto"/>
          </w:tcPr>
          <w:p w14:paraId="38683959" w14:textId="1D0F5361" w:rsidR="00152D60" w:rsidRPr="00152D60" w:rsidRDefault="00152D60">
            <w:pPr>
              <w:spacing w:after="0"/>
              <w:jc w:val="left"/>
              <w:rPr>
                <w:b/>
                <w:bCs/>
              </w:rPr>
            </w:pPr>
            <w:r w:rsidRPr="00152D60">
              <w:rPr>
                <w:b/>
                <w:bCs/>
              </w:rPr>
              <w:t>National Circumstances, Institutional Arrangements, Description of NDC, Constraints, Gaps and Other Info</w:t>
            </w:r>
          </w:p>
        </w:tc>
      </w:tr>
      <w:tr w:rsidR="00ED339E" w:rsidRPr="004870C7" w14:paraId="55FA974D" w14:textId="77777777" w:rsidTr="00205BC1">
        <w:trPr>
          <w:trHeight w:val="575"/>
        </w:trPr>
        <w:tc>
          <w:tcPr>
            <w:tcW w:w="3325" w:type="dxa"/>
            <w:vMerge w:val="restart"/>
            <w:shd w:val="clear" w:color="auto" w:fill="D9D9D9" w:themeFill="background1" w:themeFillShade="D9"/>
          </w:tcPr>
          <w:p w14:paraId="14263675" w14:textId="2359408E" w:rsidR="00ED339E" w:rsidRPr="004870C7" w:rsidRDefault="00ED339E" w:rsidP="002B4FAC">
            <w:pPr>
              <w:jc w:val="left"/>
              <w:rPr>
                <w:rFonts w:ascii="Times New Roman" w:hAnsi="Times New Roman"/>
                <w:b/>
                <w:bCs/>
                <w:sz w:val="18"/>
                <w:szCs w:val="18"/>
              </w:rPr>
            </w:pPr>
            <w:r w:rsidRPr="004870C7">
              <w:rPr>
                <w:rFonts w:ascii="Times New Roman" w:hAnsi="Times New Roman"/>
                <w:b/>
                <w:bCs/>
                <w:sz w:val="18"/>
                <w:szCs w:val="18"/>
              </w:rPr>
              <w:t>Project Outcome 1.1</w:t>
            </w:r>
          </w:p>
          <w:p w14:paraId="233755DB" w14:textId="77777777" w:rsidR="00ED339E" w:rsidRPr="004870C7" w:rsidRDefault="00ED339E" w:rsidP="002B4FAC">
            <w:pPr>
              <w:jc w:val="left"/>
              <w:rPr>
                <w:rFonts w:ascii="Times New Roman" w:hAnsi="Times New Roman"/>
                <w:b/>
                <w:bCs/>
                <w:sz w:val="18"/>
                <w:szCs w:val="18"/>
              </w:rPr>
            </w:pPr>
          </w:p>
          <w:p w14:paraId="128903CD" w14:textId="77777777" w:rsidR="00ED339E" w:rsidRPr="004870C7" w:rsidRDefault="00ED339E" w:rsidP="00237FF8">
            <w:pPr>
              <w:jc w:val="left"/>
              <w:rPr>
                <w:rFonts w:ascii="Times New Roman" w:hAnsi="Times New Roman"/>
                <w:b/>
                <w:bCs/>
                <w:sz w:val="18"/>
                <w:szCs w:val="18"/>
              </w:rPr>
            </w:pPr>
            <w:r w:rsidRPr="004870C7">
              <w:rPr>
                <w:rFonts w:ascii="Times New Roman" w:hAnsi="Times New Roman"/>
                <w:b/>
                <w:bCs/>
                <w:sz w:val="18"/>
                <w:szCs w:val="18"/>
              </w:rPr>
              <w:t>Review on previous National</w:t>
            </w:r>
          </w:p>
          <w:p w14:paraId="2D638426" w14:textId="77777777" w:rsidR="00ED339E" w:rsidRPr="004870C7" w:rsidRDefault="00ED339E" w:rsidP="00237FF8">
            <w:pPr>
              <w:jc w:val="left"/>
              <w:rPr>
                <w:rFonts w:ascii="Times New Roman" w:hAnsi="Times New Roman"/>
                <w:b/>
                <w:bCs/>
                <w:sz w:val="18"/>
                <w:szCs w:val="18"/>
              </w:rPr>
            </w:pPr>
            <w:r w:rsidRPr="004870C7">
              <w:rPr>
                <w:rFonts w:ascii="Times New Roman" w:hAnsi="Times New Roman"/>
                <w:b/>
                <w:bCs/>
                <w:sz w:val="18"/>
                <w:szCs w:val="18"/>
              </w:rPr>
              <w:t>Communications and overview of the current circumstances,</w:t>
            </w:r>
          </w:p>
          <w:p w14:paraId="475762EB" w14:textId="7454FC2E" w:rsidR="00ED339E" w:rsidRPr="004870C7" w:rsidRDefault="00ED339E" w:rsidP="00237FF8">
            <w:pPr>
              <w:jc w:val="left"/>
              <w:rPr>
                <w:rFonts w:ascii="Times New Roman" w:hAnsi="Times New Roman"/>
                <w:b/>
                <w:bCs/>
                <w:sz w:val="18"/>
                <w:szCs w:val="18"/>
              </w:rPr>
            </w:pPr>
            <w:r w:rsidRPr="004870C7">
              <w:rPr>
                <w:rFonts w:ascii="Times New Roman" w:hAnsi="Times New Roman"/>
                <w:b/>
                <w:bCs/>
                <w:sz w:val="18"/>
                <w:szCs w:val="18"/>
              </w:rPr>
              <w:t>policies and institutional</w:t>
            </w:r>
          </w:p>
          <w:p w14:paraId="455DD1E1" w14:textId="5F4E8FEE" w:rsidR="00ED339E" w:rsidRPr="004870C7" w:rsidRDefault="00ED339E" w:rsidP="005910E1">
            <w:pPr>
              <w:jc w:val="left"/>
              <w:rPr>
                <w:rFonts w:ascii="Times New Roman" w:hAnsi="Times New Roman"/>
                <w:b/>
                <w:bCs/>
                <w:sz w:val="18"/>
                <w:szCs w:val="18"/>
              </w:rPr>
            </w:pPr>
            <w:r w:rsidRPr="004870C7">
              <w:rPr>
                <w:rFonts w:ascii="Times New Roman" w:hAnsi="Times New Roman"/>
                <w:b/>
                <w:bCs/>
                <w:sz w:val="18"/>
                <w:szCs w:val="18"/>
              </w:rPr>
              <w:t>arrangements relevant to the preparation of 4NC and 1BTR</w:t>
            </w:r>
          </w:p>
        </w:tc>
        <w:tc>
          <w:tcPr>
            <w:tcW w:w="3510" w:type="dxa"/>
            <w:gridSpan w:val="5"/>
            <w:shd w:val="clear" w:color="auto" w:fill="FFFFFF" w:themeFill="background1"/>
          </w:tcPr>
          <w:p w14:paraId="6B8773ED" w14:textId="55B6485D" w:rsidR="00ED339E" w:rsidRPr="004870C7" w:rsidRDefault="00ED339E" w:rsidP="006E6CD8">
            <w:pPr>
              <w:jc w:val="left"/>
              <w:rPr>
                <w:bCs/>
                <w:i/>
                <w:sz w:val="18"/>
                <w:szCs w:val="18"/>
              </w:rPr>
            </w:pPr>
            <w:r w:rsidRPr="004870C7">
              <w:rPr>
                <w:bCs/>
                <w:i/>
                <w:sz w:val="18"/>
                <w:szCs w:val="18"/>
              </w:rPr>
              <w:t xml:space="preserve">Indicator 3: </w:t>
            </w:r>
          </w:p>
          <w:p w14:paraId="3B4980C0" w14:textId="6B46C903" w:rsidR="00ED339E" w:rsidRPr="004870C7" w:rsidRDefault="00ED339E" w:rsidP="006E6CD8">
            <w:pPr>
              <w:jc w:val="left"/>
              <w:rPr>
                <w:bCs/>
                <w:iCs/>
                <w:sz w:val="18"/>
                <w:szCs w:val="18"/>
                <w:highlight w:val="yellow"/>
              </w:rPr>
            </w:pPr>
            <w:r w:rsidRPr="004870C7">
              <w:rPr>
                <w:bCs/>
                <w:iCs/>
                <w:sz w:val="18"/>
                <w:szCs w:val="18"/>
              </w:rPr>
              <w:t xml:space="preserve">Information on relevant national circumstances and institutional arrangements collected </w:t>
            </w:r>
          </w:p>
        </w:tc>
        <w:tc>
          <w:tcPr>
            <w:tcW w:w="2160" w:type="dxa"/>
            <w:gridSpan w:val="4"/>
            <w:shd w:val="clear" w:color="auto" w:fill="FFFFFF" w:themeFill="background1"/>
            <w:vAlign w:val="center"/>
          </w:tcPr>
          <w:p w14:paraId="0DDD21B1" w14:textId="4B11E7C8" w:rsidR="00ED339E" w:rsidRPr="00BB7043" w:rsidRDefault="00ED339E" w:rsidP="005910E1">
            <w:pPr>
              <w:jc w:val="center"/>
              <w:rPr>
                <w:bCs/>
                <w:iCs/>
                <w:sz w:val="18"/>
                <w:szCs w:val="18"/>
              </w:rPr>
            </w:pPr>
            <w:r w:rsidRPr="00BB7043">
              <w:rPr>
                <w:bCs/>
                <w:iCs/>
                <w:sz w:val="18"/>
                <w:szCs w:val="18"/>
              </w:rPr>
              <w:t xml:space="preserve">Information on national circumstances and institutional arrangements up to 2019 collected within 3NC </w:t>
            </w:r>
          </w:p>
        </w:tc>
        <w:tc>
          <w:tcPr>
            <w:tcW w:w="5490" w:type="dxa"/>
            <w:gridSpan w:val="3"/>
            <w:shd w:val="clear" w:color="auto" w:fill="FFFFFF" w:themeFill="background1"/>
            <w:vAlign w:val="center"/>
          </w:tcPr>
          <w:p w14:paraId="0D216A60" w14:textId="18CC0913" w:rsidR="00ED339E" w:rsidRPr="004870C7" w:rsidRDefault="00F71B97" w:rsidP="005910E1">
            <w:pPr>
              <w:jc w:val="center"/>
              <w:rPr>
                <w:iCs/>
                <w:sz w:val="18"/>
                <w:szCs w:val="18"/>
              </w:rPr>
            </w:pPr>
            <w:r>
              <w:rPr>
                <w:iCs/>
                <w:sz w:val="18"/>
                <w:szCs w:val="18"/>
              </w:rPr>
              <w:t>Updated i</w:t>
            </w:r>
            <w:r w:rsidR="00ED339E" w:rsidRPr="004870C7">
              <w:rPr>
                <w:iCs/>
                <w:sz w:val="18"/>
                <w:szCs w:val="18"/>
              </w:rPr>
              <w:t xml:space="preserve">nformation on relevant national circumstances and institutional arrangements collected as inputs for the first chapter of the report   </w:t>
            </w:r>
          </w:p>
        </w:tc>
      </w:tr>
      <w:tr w:rsidR="00ED339E" w:rsidRPr="004870C7" w14:paraId="50B486DF" w14:textId="77777777" w:rsidTr="00205BC1">
        <w:trPr>
          <w:trHeight w:val="584"/>
        </w:trPr>
        <w:tc>
          <w:tcPr>
            <w:tcW w:w="3325" w:type="dxa"/>
            <w:vMerge/>
            <w:shd w:val="clear" w:color="auto" w:fill="D9D9D9" w:themeFill="background1" w:themeFillShade="D9"/>
          </w:tcPr>
          <w:p w14:paraId="098B482E" w14:textId="77777777" w:rsidR="00ED339E" w:rsidRPr="004870C7" w:rsidRDefault="00ED339E" w:rsidP="00466437">
            <w:pPr>
              <w:jc w:val="left"/>
              <w:rPr>
                <w:rFonts w:ascii="Times New Roman" w:hAnsi="Times New Roman"/>
                <w:b/>
                <w:bCs/>
                <w:sz w:val="18"/>
                <w:szCs w:val="18"/>
              </w:rPr>
            </w:pPr>
          </w:p>
        </w:tc>
        <w:tc>
          <w:tcPr>
            <w:tcW w:w="3510" w:type="dxa"/>
            <w:gridSpan w:val="5"/>
            <w:shd w:val="clear" w:color="auto" w:fill="FFFFFF" w:themeFill="background1"/>
          </w:tcPr>
          <w:p w14:paraId="5CF5413E" w14:textId="094C2724" w:rsidR="00ED339E" w:rsidRPr="004870C7" w:rsidRDefault="00ED339E" w:rsidP="00466437">
            <w:pPr>
              <w:rPr>
                <w:bCs/>
                <w:iCs/>
                <w:sz w:val="18"/>
                <w:szCs w:val="18"/>
              </w:rPr>
            </w:pPr>
            <w:r w:rsidRPr="004870C7">
              <w:rPr>
                <w:bCs/>
                <w:i/>
                <w:sz w:val="18"/>
                <w:szCs w:val="18"/>
              </w:rPr>
              <w:t>Indicator 4:</w:t>
            </w:r>
          </w:p>
          <w:p w14:paraId="0F8687A3" w14:textId="0EA036D8" w:rsidR="00ED339E" w:rsidRPr="004870C7" w:rsidRDefault="00ED339E" w:rsidP="00466437">
            <w:pPr>
              <w:rPr>
                <w:bCs/>
                <w:iCs/>
                <w:sz w:val="18"/>
                <w:szCs w:val="18"/>
              </w:rPr>
            </w:pPr>
            <w:r w:rsidRPr="004870C7">
              <w:rPr>
                <w:bCs/>
                <w:iCs/>
                <w:sz w:val="18"/>
                <w:szCs w:val="18"/>
              </w:rPr>
              <w:t xml:space="preserve">Information on NDC, including reference points, provided </w:t>
            </w:r>
          </w:p>
          <w:p w14:paraId="3F5CD312" w14:textId="159A5681" w:rsidR="00ED339E" w:rsidRPr="004870C7" w:rsidRDefault="00ED339E" w:rsidP="00466437">
            <w:pPr>
              <w:rPr>
                <w:highlight w:val="yellow"/>
              </w:rPr>
            </w:pPr>
          </w:p>
        </w:tc>
        <w:tc>
          <w:tcPr>
            <w:tcW w:w="2160" w:type="dxa"/>
            <w:gridSpan w:val="4"/>
            <w:shd w:val="clear" w:color="auto" w:fill="FFFFFF" w:themeFill="background1"/>
            <w:vAlign w:val="center"/>
          </w:tcPr>
          <w:p w14:paraId="671A2284" w14:textId="46758D0F" w:rsidR="00ED339E" w:rsidRPr="00BB7043" w:rsidRDefault="00ED339E" w:rsidP="00466437">
            <w:pPr>
              <w:jc w:val="center"/>
              <w:rPr>
                <w:bCs/>
                <w:iCs/>
                <w:sz w:val="18"/>
                <w:szCs w:val="18"/>
              </w:rPr>
            </w:pPr>
            <w:r w:rsidRPr="00BB7043">
              <w:rPr>
                <w:bCs/>
                <w:iCs/>
                <w:sz w:val="18"/>
                <w:szCs w:val="18"/>
              </w:rPr>
              <w:t xml:space="preserve">Revised NDC </w:t>
            </w:r>
            <w:r w:rsidR="00A24DEC">
              <w:rPr>
                <w:bCs/>
                <w:iCs/>
                <w:sz w:val="18"/>
                <w:szCs w:val="18"/>
              </w:rPr>
              <w:t>submitted to UNFCCC on 15</w:t>
            </w:r>
            <w:r w:rsidRPr="00BB7043">
              <w:rPr>
                <w:bCs/>
                <w:iCs/>
                <w:sz w:val="18"/>
                <w:szCs w:val="18"/>
              </w:rPr>
              <w:t>n June 2021)</w:t>
            </w:r>
          </w:p>
        </w:tc>
        <w:tc>
          <w:tcPr>
            <w:tcW w:w="5490" w:type="dxa"/>
            <w:gridSpan w:val="3"/>
            <w:shd w:val="clear" w:color="auto" w:fill="FFFFFF" w:themeFill="background1"/>
            <w:vAlign w:val="center"/>
          </w:tcPr>
          <w:p w14:paraId="3C61EB6C" w14:textId="1C4CCDF6" w:rsidR="00ED339E" w:rsidRPr="004870C7" w:rsidRDefault="00ED339E" w:rsidP="00466437">
            <w:pPr>
              <w:jc w:val="center"/>
              <w:rPr>
                <w:bCs/>
                <w:iCs/>
                <w:sz w:val="18"/>
                <w:szCs w:val="18"/>
              </w:rPr>
            </w:pPr>
            <w:r w:rsidRPr="004870C7">
              <w:rPr>
                <w:bCs/>
                <w:iCs/>
                <w:sz w:val="18"/>
                <w:szCs w:val="18"/>
              </w:rPr>
              <w:t>Information on</w:t>
            </w:r>
            <w:r w:rsidR="007D52C0">
              <w:rPr>
                <w:bCs/>
                <w:iCs/>
                <w:sz w:val="18"/>
                <w:szCs w:val="18"/>
              </w:rPr>
              <w:t xml:space="preserve"> revised</w:t>
            </w:r>
            <w:r w:rsidRPr="004870C7">
              <w:rPr>
                <w:bCs/>
                <w:iCs/>
                <w:sz w:val="18"/>
                <w:szCs w:val="18"/>
              </w:rPr>
              <w:t xml:space="preserve"> NDC, including reference points, provided </w:t>
            </w:r>
            <w:r w:rsidRPr="004870C7">
              <w:rPr>
                <w:iCs/>
                <w:sz w:val="18"/>
                <w:szCs w:val="18"/>
              </w:rPr>
              <w:t xml:space="preserve">as inputs for the first chapter of the report   </w:t>
            </w:r>
          </w:p>
          <w:p w14:paraId="6FD16FA2" w14:textId="5AA4A19B" w:rsidR="00ED339E" w:rsidRPr="004870C7" w:rsidRDefault="00ED339E" w:rsidP="00466437">
            <w:pPr>
              <w:jc w:val="center"/>
              <w:rPr>
                <w:iCs/>
                <w:sz w:val="18"/>
                <w:szCs w:val="18"/>
              </w:rPr>
            </w:pPr>
          </w:p>
        </w:tc>
      </w:tr>
      <w:tr w:rsidR="00466437" w:rsidRPr="004870C7" w14:paraId="458F63DB" w14:textId="77777777" w:rsidTr="00205BC1">
        <w:trPr>
          <w:trHeight w:val="620"/>
        </w:trPr>
        <w:tc>
          <w:tcPr>
            <w:tcW w:w="3325" w:type="dxa"/>
            <w:shd w:val="clear" w:color="auto" w:fill="D9D9D9" w:themeFill="background1" w:themeFillShade="D9"/>
          </w:tcPr>
          <w:p w14:paraId="38A6FDF1" w14:textId="65E36BE8"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Outputs to achieve Outcome 1</w:t>
            </w:r>
            <w:r w:rsidR="003F2B35" w:rsidRPr="004870C7">
              <w:rPr>
                <w:rFonts w:ascii="Times New Roman" w:hAnsi="Times New Roman"/>
                <w:b/>
                <w:bCs/>
                <w:sz w:val="18"/>
                <w:szCs w:val="18"/>
              </w:rPr>
              <w:t>.1</w:t>
            </w:r>
          </w:p>
        </w:tc>
        <w:tc>
          <w:tcPr>
            <w:tcW w:w="11160" w:type="dxa"/>
            <w:gridSpan w:val="12"/>
            <w:shd w:val="clear" w:color="auto" w:fill="FFFFFF" w:themeFill="background1"/>
          </w:tcPr>
          <w:p w14:paraId="2F45141A" w14:textId="76BCF606" w:rsidR="00466437" w:rsidRPr="004870C7" w:rsidRDefault="00466437" w:rsidP="00466437">
            <w:pPr>
              <w:jc w:val="left"/>
              <w:rPr>
                <w:bCs/>
                <w:iCs/>
                <w:sz w:val="18"/>
                <w:szCs w:val="18"/>
              </w:rPr>
            </w:pPr>
            <w:r w:rsidRPr="004870C7">
              <w:rPr>
                <w:bCs/>
                <w:iCs/>
                <w:sz w:val="18"/>
                <w:szCs w:val="18"/>
              </w:rPr>
              <w:t>1.1.1 National circumstances relevant to the government structure, population, imports, exports, GDP, natural resources, climate and socio-economic features affecting climate change, sector specific key drivers for emission trends, as well as adaptive capacities, addressing gender dimension collected and updated, and appropriate measures to meet obligations under UNFCCC reviewed and explained.</w:t>
            </w:r>
          </w:p>
          <w:p w14:paraId="0820EF22" w14:textId="08452959" w:rsidR="00466437" w:rsidRPr="004870C7" w:rsidRDefault="00466437" w:rsidP="00466437">
            <w:pPr>
              <w:jc w:val="left"/>
              <w:rPr>
                <w:bCs/>
                <w:iCs/>
                <w:sz w:val="18"/>
                <w:szCs w:val="18"/>
              </w:rPr>
            </w:pPr>
            <w:r w:rsidRPr="004870C7">
              <w:rPr>
                <w:bCs/>
                <w:iCs/>
                <w:sz w:val="18"/>
                <w:szCs w:val="18"/>
              </w:rPr>
              <w:t>1.1.2 National development objectives, priorities and circumstances relevant to the climate change, mitigation of its adverse impacts and the specific needs and problems arising from climate change, how these might affect the way in which the country deals with climate change, sustainable development and gender issues in the long term estimated and described.</w:t>
            </w:r>
          </w:p>
          <w:p w14:paraId="4D9556D7" w14:textId="498B5BBA" w:rsidR="00466437" w:rsidRPr="004870C7" w:rsidRDefault="00466437" w:rsidP="00466437">
            <w:pPr>
              <w:jc w:val="left"/>
              <w:rPr>
                <w:bCs/>
                <w:iCs/>
                <w:sz w:val="18"/>
                <w:szCs w:val="18"/>
              </w:rPr>
            </w:pPr>
            <w:r w:rsidRPr="004870C7">
              <w:rPr>
                <w:bCs/>
                <w:iCs/>
                <w:sz w:val="18"/>
                <w:szCs w:val="18"/>
              </w:rPr>
              <w:t xml:space="preserve">1.1.3 Description of NDC, including national reference points, target years, implementation period, scope and coverage. </w:t>
            </w:r>
          </w:p>
          <w:p w14:paraId="75315B8E" w14:textId="3C7087C5" w:rsidR="00466437" w:rsidRPr="004870C7" w:rsidRDefault="00466437" w:rsidP="00466437">
            <w:pPr>
              <w:jc w:val="left"/>
              <w:rPr>
                <w:bCs/>
                <w:iCs/>
                <w:sz w:val="18"/>
                <w:szCs w:val="18"/>
              </w:rPr>
            </w:pPr>
            <w:r w:rsidRPr="004870C7">
              <w:rPr>
                <w:bCs/>
                <w:iCs/>
                <w:sz w:val="18"/>
                <w:szCs w:val="18"/>
              </w:rPr>
              <w:t>1.1.4 Institutional arrangements relevant to the NCs/BRTs preparation on a continuous basis as well as mechanisms for stakeholders’ involvement and participation to enable the preparation of these reports analysed and described and</w:t>
            </w:r>
          </w:p>
          <w:p w14:paraId="7968D3B9" w14:textId="72AB749F" w:rsidR="00466437" w:rsidRPr="004870C7" w:rsidRDefault="00466437" w:rsidP="00466437">
            <w:pPr>
              <w:jc w:val="left"/>
              <w:rPr>
                <w:bCs/>
                <w:i/>
                <w:sz w:val="18"/>
                <w:szCs w:val="18"/>
                <w:highlight w:val="yellow"/>
              </w:rPr>
            </w:pPr>
            <w:r w:rsidRPr="004870C7">
              <w:rPr>
                <w:bCs/>
                <w:iCs/>
                <w:sz w:val="18"/>
                <w:szCs w:val="18"/>
              </w:rPr>
              <w:lastRenderedPageBreak/>
              <w:t>1.1.5 Information on relevant studies, projects implemented and/or under implementation, integrating energy and climate change policy into national plan and the progress towards climate change mainstreaming into policy frameworks evaluated.</w:t>
            </w:r>
          </w:p>
        </w:tc>
      </w:tr>
      <w:tr w:rsidR="00ED339E" w:rsidRPr="004870C7" w14:paraId="0DD0F616" w14:textId="77777777" w:rsidTr="00205BC1">
        <w:trPr>
          <w:trHeight w:val="485"/>
        </w:trPr>
        <w:tc>
          <w:tcPr>
            <w:tcW w:w="3325" w:type="dxa"/>
            <w:shd w:val="clear" w:color="auto" w:fill="D9D9D9" w:themeFill="background1" w:themeFillShade="D9"/>
          </w:tcPr>
          <w:p w14:paraId="28F6A7F2" w14:textId="069A082F"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lastRenderedPageBreak/>
              <w:t xml:space="preserve">Outcome </w:t>
            </w:r>
          </w:p>
          <w:p w14:paraId="6F6F8E2A"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1.2. Progress towards mainstreaming</w:t>
            </w:r>
          </w:p>
          <w:p w14:paraId="1681EDBA" w14:textId="3827DD32"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of climate change</w:t>
            </w:r>
            <w:r>
              <w:rPr>
                <w:rFonts w:ascii="Times New Roman" w:hAnsi="Times New Roman"/>
                <w:b/>
                <w:bCs/>
                <w:sz w:val="18"/>
                <w:szCs w:val="18"/>
              </w:rPr>
              <w:t xml:space="preserve"> </w:t>
            </w:r>
            <w:r w:rsidRPr="004870C7">
              <w:rPr>
                <w:rFonts w:ascii="Times New Roman" w:hAnsi="Times New Roman"/>
                <w:b/>
                <w:bCs/>
                <w:sz w:val="18"/>
                <w:szCs w:val="18"/>
              </w:rPr>
              <w:t>considerations along with gender issues into key development strategies and sector-based policy</w:t>
            </w:r>
          </w:p>
          <w:p w14:paraId="1DD3F8DF" w14:textId="2D345FC2"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 xml:space="preserve">frameworks </w:t>
            </w:r>
          </w:p>
        </w:tc>
        <w:tc>
          <w:tcPr>
            <w:tcW w:w="3510" w:type="dxa"/>
            <w:gridSpan w:val="5"/>
            <w:shd w:val="clear" w:color="auto" w:fill="FFFFFF" w:themeFill="background1"/>
          </w:tcPr>
          <w:p w14:paraId="67FF4698" w14:textId="2FE3285E" w:rsidR="00ED339E" w:rsidRPr="00BB7043" w:rsidRDefault="00ED339E" w:rsidP="00466437">
            <w:pPr>
              <w:jc w:val="left"/>
              <w:rPr>
                <w:rFonts w:cs="Calibri"/>
                <w:bCs/>
                <w:iCs/>
                <w:sz w:val="18"/>
                <w:szCs w:val="18"/>
              </w:rPr>
            </w:pPr>
            <w:r w:rsidRPr="00BB7043">
              <w:rPr>
                <w:rFonts w:asciiTheme="minorHAnsi" w:hAnsiTheme="minorHAnsi" w:cstheme="minorHAnsi"/>
                <w:bCs/>
                <w:i/>
                <w:sz w:val="18"/>
                <w:szCs w:val="18"/>
              </w:rPr>
              <w:t>Indicator 5</w:t>
            </w:r>
            <w:r w:rsidRPr="00BB7043">
              <w:rPr>
                <w:rFonts w:asciiTheme="minorHAnsi" w:hAnsiTheme="minorHAnsi" w:cstheme="minorHAnsi"/>
                <w:bCs/>
                <w:iCs/>
                <w:sz w:val="18"/>
                <w:szCs w:val="18"/>
              </w:rPr>
              <w:t xml:space="preserve">: </w:t>
            </w:r>
            <w:r w:rsidRPr="00BB7043">
              <w:rPr>
                <w:rFonts w:cs="Calibri"/>
                <w:bCs/>
                <w:iCs/>
                <w:sz w:val="18"/>
                <w:szCs w:val="18"/>
              </w:rPr>
              <w:t>Gender analysis with recommendations on gender mainstreaming into the climate change policies and legislation developed</w:t>
            </w:r>
          </w:p>
        </w:tc>
        <w:tc>
          <w:tcPr>
            <w:tcW w:w="2160" w:type="dxa"/>
            <w:gridSpan w:val="4"/>
            <w:shd w:val="clear" w:color="auto" w:fill="FFFFFF" w:themeFill="background1"/>
            <w:vAlign w:val="center"/>
          </w:tcPr>
          <w:p w14:paraId="47442F47" w14:textId="616F41A9" w:rsidR="00ED339E" w:rsidRPr="00BB7043" w:rsidRDefault="00ED339E" w:rsidP="00466437">
            <w:pPr>
              <w:jc w:val="center"/>
              <w:rPr>
                <w:rFonts w:cs="Calibri"/>
                <w:bCs/>
                <w:iCs/>
                <w:sz w:val="18"/>
                <w:szCs w:val="18"/>
              </w:rPr>
            </w:pPr>
            <w:r w:rsidRPr="00BB7043">
              <w:rPr>
                <w:rFonts w:cs="Calibri"/>
                <w:bCs/>
                <w:iCs/>
                <w:sz w:val="18"/>
                <w:szCs w:val="18"/>
              </w:rPr>
              <w:t xml:space="preserve">Initial analysis on Women and Climate Change in Montenegro developed within SBUR </w:t>
            </w:r>
          </w:p>
        </w:tc>
        <w:tc>
          <w:tcPr>
            <w:tcW w:w="5490" w:type="dxa"/>
            <w:gridSpan w:val="3"/>
            <w:shd w:val="clear" w:color="auto" w:fill="FFFFFF" w:themeFill="background1"/>
            <w:vAlign w:val="center"/>
          </w:tcPr>
          <w:p w14:paraId="4AD94FA3" w14:textId="05BC66E6" w:rsidR="00ED339E" w:rsidRPr="004870C7" w:rsidRDefault="00ED339E" w:rsidP="00466437">
            <w:pPr>
              <w:jc w:val="center"/>
              <w:rPr>
                <w:iCs/>
                <w:sz w:val="18"/>
                <w:szCs w:val="18"/>
              </w:rPr>
            </w:pPr>
            <w:r w:rsidRPr="004870C7">
              <w:rPr>
                <w:iCs/>
                <w:sz w:val="18"/>
                <w:szCs w:val="18"/>
              </w:rPr>
              <w:t xml:space="preserve">Gender analysis developed as an input for the first chapter of the report </w:t>
            </w:r>
          </w:p>
        </w:tc>
      </w:tr>
      <w:tr w:rsidR="00466437" w:rsidRPr="004870C7" w14:paraId="3F5A04C1" w14:textId="77777777" w:rsidTr="00205BC1">
        <w:trPr>
          <w:trHeight w:val="800"/>
        </w:trPr>
        <w:tc>
          <w:tcPr>
            <w:tcW w:w="3325" w:type="dxa"/>
            <w:shd w:val="clear" w:color="auto" w:fill="D9D9D9" w:themeFill="background1" w:themeFillShade="D9"/>
          </w:tcPr>
          <w:p w14:paraId="5FAC15CB" w14:textId="564E364B" w:rsidR="00466437" w:rsidRPr="004870C7" w:rsidRDefault="00466437" w:rsidP="00466437">
            <w:pPr>
              <w:jc w:val="left"/>
              <w:rPr>
                <w:rFonts w:ascii="Times New Roman" w:hAnsi="Times New Roman"/>
                <w:b/>
                <w:bCs/>
                <w:sz w:val="18"/>
                <w:szCs w:val="18"/>
                <w:highlight w:val="yellow"/>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1.</w:t>
            </w:r>
            <w:r w:rsidRPr="004870C7">
              <w:rPr>
                <w:rFonts w:ascii="Times New Roman" w:hAnsi="Times New Roman"/>
                <w:b/>
                <w:bCs/>
                <w:sz w:val="18"/>
                <w:szCs w:val="18"/>
              </w:rPr>
              <w:t>2</w:t>
            </w:r>
          </w:p>
        </w:tc>
        <w:tc>
          <w:tcPr>
            <w:tcW w:w="11160" w:type="dxa"/>
            <w:gridSpan w:val="12"/>
            <w:shd w:val="clear" w:color="auto" w:fill="FFFFFF" w:themeFill="background1"/>
          </w:tcPr>
          <w:p w14:paraId="74B32D1F" w14:textId="11CAF2E4" w:rsidR="00466437" w:rsidRPr="004870C7" w:rsidRDefault="00466437" w:rsidP="00466437">
            <w:pPr>
              <w:jc w:val="left"/>
              <w:rPr>
                <w:bCs/>
                <w:sz w:val="18"/>
                <w:szCs w:val="18"/>
              </w:rPr>
            </w:pPr>
            <w:r w:rsidRPr="004870C7">
              <w:rPr>
                <w:bCs/>
                <w:sz w:val="18"/>
                <w:szCs w:val="18"/>
              </w:rPr>
              <w:t xml:space="preserve">1.2.1 Detailed gender analyses as per UNDP Gender responsive National Communication Toolkit carried out and the Gender Action Plan in line with adopted UNFCCC guidelines arising from the COP23 prepared. </w:t>
            </w:r>
          </w:p>
          <w:p w14:paraId="18D70609" w14:textId="65CEEDBB" w:rsidR="00466437" w:rsidRPr="004870C7" w:rsidRDefault="00466437" w:rsidP="00466437">
            <w:pPr>
              <w:jc w:val="left"/>
              <w:rPr>
                <w:bCs/>
                <w:sz w:val="18"/>
                <w:szCs w:val="18"/>
              </w:rPr>
            </w:pPr>
            <w:r w:rsidRPr="004870C7">
              <w:rPr>
                <w:bCs/>
                <w:sz w:val="18"/>
                <w:szCs w:val="18"/>
              </w:rPr>
              <w:t>1.2.2 Gender gaps and missing data, gender needs assessment and vulnerability to climate change presented with recommendations in order to reach gender equity, gender-disaggregated data in relation to climate change; gender roles, access to information, finance and decision making, collected and analysed and</w:t>
            </w:r>
          </w:p>
          <w:p w14:paraId="67CD0587" w14:textId="3810E71F" w:rsidR="00466437" w:rsidRPr="004870C7" w:rsidRDefault="00466437" w:rsidP="00466437">
            <w:pPr>
              <w:jc w:val="left"/>
              <w:rPr>
                <w:bCs/>
                <w:sz w:val="18"/>
                <w:szCs w:val="18"/>
                <w:highlight w:val="yellow"/>
              </w:rPr>
            </w:pPr>
            <w:r w:rsidRPr="004870C7">
              <w:rPr>
                <w:bCs/>
                <w:sz w:val="18"/>
                <w:szCs w:val="18"/>
              </w:rPr>
              <w:t>1.2.3 Training workshop for MONSTAT employees to enhance statistical capacities in gender data collection, processing and disaggregation.</w:t>
            </w:r>
          </w:p>
        </w:tc>
      </w:tr>
      <w:tr w:rsidR="00ED339E" w:rsidRPr="004870C7" w14:paraId="601E70BF" w14:textId="70D9AF08" w:rsidTr="00205BC1">
        <w:trPr>
          <w:trHeight w:val="800"/>
        </w:trPr>
        <w:tc>
          <w:tcPr>
            <w:tcW w:w="3325" w:type="dxa"/>
            <w:shd w:val="clear" w:color="auto" w:fill="D9D9D9" w:themeFill="background1" w:themeFillShade="D9"/>
          </w:tcPr>
          <w:p w14:paraId="0CAD9409" w14:textId="09615BE3"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4DC50641"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1.3. Other relevant</w:t>
            </w:r>
          </w:p>
          <w:p w14:paraId="1A8DBE56"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information described</w:t>
            </w:r>
          </w:p>
          <w:p w14:paraId="4ACBB119"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(research/systematic</w:t>
            </w:r>
          </w:p>
          <w:p w14:paraId="0355ED58"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observation, technology transfer, education,</w:t>
            </w:r>
          </w:p>
          <w:p w14:paraId="127EF39B"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public awareness,</w:t>
            </w:r>
          </w:p>
          <w:p w14:paraId="2B544259"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capacity building,</w:t>
            </w:r>
          </w:p>
          <w:p w14:paraId="50EA4AC0" w14:textId="5A821D48"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constraints and gaps)</w:t>
            </w:r>
          </w:p>
        </w:tc>
        <w:tc>
          <w:tcPr>
            <w:tcW w:w="3516" w:type="dxa"/>
            <w:gridSpan w:val="6"/>
            <w:shd w:val="clear" w:color="auto" w:fill="FFFFFF" w:themeFill="background1"/>
          </w:tcPr>
          <w:p w14:paraId="168D3778" w14:textId="59B4D522" w:rsidR="00ED339E" w:rsidRPr="004870C7" w:rsidRDefault="00ED339E" w:rsidP="00466437">
            <w:pPr>
              <w:jc w:val="left"/>
              <w:rPr>
                <w:bCs/>
                <w:i/>
                <w:sz w:val="18"/>
                <w:szCs w:val="18"/>
              </w:rPr>
            </w:pPr>
            <w:r w:rsidRPr="004870C7">
              <w:rPr>
                <w:bCs/>
                <w:i/>
                <w:sz w:val="18"/>
                <w:szCs w:val="18"/>
              </w:rPr>
              <w:t xml:space="preserve">Indicator 6: </w:t>
            </w:r>
          </w:p>
          <w:p w14:paraId="05E620F8" w14:textId="77777777" w:rsidR="00ED339E" w:rsidRPr="004870C7" w:rsidRDefault="00ED339E" w:rsidP="00466437">
            <w:pPr>
              <w:jc w:val="left"/>
              <w:rPr>
                <w:bCs/>
                <w:i/>
                <w:sz w:val="18"/>
                <w:szCs w:val="18"/>
              </w:rPr>
            </w:pPr>
          </w:p>
          <w:p w14:paraId="4742936C" w14:textId="0DF26BE2" w:rsidR="00ED339E" w:rsidRPr="004870C7" w:rsidRDefault="00ED339E" w:rsidP="00466437">
            <w:pPr>
              <w:jc w:val="left"/>
              <w:rPr>
                <w:bCs/>
                <w:i/>
                <w:sz w:val="18"/>
                <w:szCs w:val="18"/>
                <w:highlight w:val="yellow"/>
              </w:rPr>
            </w:pPr>
            <w:r w:rsidRPr="004870C7">
              <w:rPr>
                <w:bCs/>
                <w:iCs/>
                <w:sz w:val="18"/>
                <w:szCs w:val="18"/>
              </w:rPr>
              <w:t>Information on financial resources, technology transfer, capacity building and technical support received collected</w:t>
            </w:r>
          </w:p>
        </w:tc>
        <w:tc>
          <w:tcPr>
            <w:tcW w:w="2172" w:type="dxa"/>
            <w:gridSpan w:val="5"/>
            <w:shd w:val="clear" w:color="auto" w:fill="FFFFFF" w:themeFill="background1"/>
            <w:vAlign w:val="center"/>
          </w:tcPr>
          <w:p w14:paraId="640C62D3" w14:textId="21C40722" w:rsidR="00ED339E" w:rsidRPr="004870C7" w:rsidRDefault="00ED339E" w:rsidP="00E71CB0">
            <w:pPr>
              <w:jc w:val="center"/>
              <w:rPr>
                <w:bCs/>
                <w:iCs/>
                <w:sz w:val="18"/>
                <w:szCs w:val="18"/>
                <w:highlight w:val="yellow"/>
              </w:rPr>
            </w:pPr>
            <w:r w:rsidRPr="00BB7043">
              <w:rPr>
                <w:rFonts w:cs="Calibri"/>
                <w:bCs/>
                <w:iCs/>
                <w:sz w:val="18"/>
                <w:szCs w:val="18"/>
              </w:rPr>
              <w:t xml:space="preserve">Chapter on </w:t>
            </w:r>
            <w:r w:rsidRPr="00BB7043">
              <w:rPr>
                <w:bCs/>
                <w:iCs/>
                <w:sz w:val="18"/>
                <w:szCs w:val="18"/>
              </w:rPr>
              <w:t>financial resources, technology transfer, capacity building and technical support received developed within 3NC</w:t>
            </w:r>
          </w:p>
        </w:tc>
        <w:tc>
          <w:tcPr>
            <w:tcW w:w="5472" w:type="dxa"/>
            <w:shd w:val="clear" w:color="auto" w:fill="FFFFFF" w:themeFill="background1"/>
            <w:vAlign w:val="center"/>
          </w:tcPr>
          <w:p w14:paraId="6A1CA836" w14:textId="6684E3F5" w:rsidR="00ED339E" w:rsidRPr="004870C7" w:rsidRDefault="00F71B97" w:rsidP="00E71CB0">
            <w:pPr>
              <w:jc w:val="center"/>
              <w:rPr>
                <w:bCs/>
                <w:iCs/>
                <w:sz w:val="18"/>
                <w:szCs w:val="18"/>
                <w:highlight w:val="yellow"/>
              </w:rPr>
            </w:pPr>
            <w:r>
              <w:rPr>
                <w:bCs/>
                <w:iCs/>
                <w:sz w:val="18"/>
                <w:szCs w:val="18"/>
              </w:rPr>
              <w:t>Updated i</w:t>
            </w:r>
            <w:r w:rsidR="00ED339E" w:rsidRPr="004870C7">
              <w:rPr>
                <w:bCs/>
                <w:iCs/>
                <w:sz w:val="18"/>
                <w:szCs w:val="18"/>
              </w:rPr>
              <w:t>nformation on financial resources, technology transfer, capacity building and technical support received collected as input for the first chapter of the report</w:t>
            </w:r>
          </w:p>
        </w:tc>
      </w:tr>
      <w:tr w:rsidR="00466437" w:rsidRPr="004870C7" w14:paraId="4B408297" w14:textId="77777777" w:rsidTr="00205BC1">
        <w:trPr>
          <w:trHeight w:val="800"/>
        </w:trPr>
        <w:tc>
          <w:tcPr>
            <w:tcW w:w="3325" w:type="dxa"/>
            <w:shd w:val="clear" w:color="auto" w:fill="D9D9D9" w:themeFill="background1" w:themeFillShade="D9"/>
          </w:tcPr>
          <w:p w14:paraId="2592EFBA" w14:textId="5235F684"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1.</w:t>
            </w:r>
            <w:r w:rsidRPr="004870C7">
              <w:rPr>
                <w:rFonts w:ascii="Times New Roman" w:hAnsi="Times New Roman"/>
                <w:b/>
                <w:bCs/>
                <w:sz w:val="18"/>
                <w:szCs w:val="18"/>
              </w:rPr>
              <w:t>3</w:t>
            </w:r>
          </w:p>
        </w:tc>
        <w:tc>
          <w:tcPr>
            <w:tcW w:w="11160" w:type="dxa"/>
            <w:gridSpan w:val="12"/>
            <w:shd w:val="clear" w:color="auto" w:fill="FFFFFF" w:themeFill="background1"/>
          </w:tcPr>
          <w:p w14:paraId="11036B85" w14:textId="214A2588" w:rsidR="00466437" w:rsidRPr="004870C7" w:rsidRDefault="00466437" w:rsidP="00466437">
            <w:pPr>
              <w:jc w:val="left"/>
              <w:rPr>
                <w:bCs/>
                <w:iCs/>
                <w:sz w:val="18"/>
                <w:szCs w:val="18"/>
                <w:highlight w:val="yellow"/>
              </w:rPr>
            </w:pPr>
            <w:r w:rsidRPr="004870C7">
              <w:rPr>
                <w:bCs/>
                <w:iCs/>
                <w:sz w:val="18"/>
                <w:szCs w:val="18"/>
              </w:rPr>
              <w:t xml:space="preserve">1.3.1 Information on financial resources, technology transfer, capacity building and technical support received from bilateral and multilateral donors, needs/constraints for mitigation and adaptation associated with the </w:t>
            </w:r>
            <w:r w:rsidR="00072459" w:rsidRPr="004870C7">
              <w:rPr>
                <w:bCs/>
                <w:iCs/>
                <w:sz w:val="18"/>
                <w:szCs w:val="18"/>
              </w:rPr>
              <w:t>fulfilment</w:t>
            </w:r>
            <w:r w:rsidRPr="004870C7">
              <w:rPr>
                <w:bCs/>
                <w:iCs/>
                <w:sz w:val="18"/>
                <w:szCs w:val="18"/>
              </w:rPr>
              <w:t xml:space="preserve"> of the national obligations under the UNFCCC assessed, supplemented with information to reflect on education and public awareness activities as well as involvement and mechanism for stakeholder participation to enable the national communications preparation</w:t>
            </w:r>
          </w:p>
        </w:tc>
      </w:tr>
      <w:tr w:rsidR="00466437" w:rsidRPr="004870C7" w14:paraId="2D86DC6F" w14:textId="77777777" w:rsidTr="00205BC1">
        <w:trPr>
          <w:trHeight w:val="620"/>
        </w:trPr>
        <w:tc>
          <w:tcPr>
            <w:tcW w:w="3325" w:type="dxa"/>
            <w:shd w:val="clear" w:color="auto" w:fill="E7E6E6" w:themeFill="background2"/>
          </w:tcPr>
          <w:p w14:paraId="04DEBA51" w14:textId="093DF621" w:rsidR="00466437" w:rsidRPr="004870C7" w:rsidRDefault="00466437" w:rsidP="00466437">
            <w:pPr>
              <w:jc w:val="left"/>
              <w:rPr>
                <w:rFonts w:ascii="Times New Roman" w:hAnsi="Times New Roman"/>
                <w:b/>
                <w:bCs/>
                <w:i/>
                <w:sz w:val="18"/>
                <w:szCs w:val="18"/>
              </w:rPr>
            </w:pPr>
            <w:r w:rsidRPr="004870C7">
              <w:rPr>
                <w:rFonts w:ascii="Times New Roman" w:hAnsi="Times New Roman"/>
                <w:b/>
                <w:bCs/>
                <w:sz w:val="18"/>
                <w:szCs w:val="18"/>
              </w:rPr>
              <w:t xml:space="preserve">Project component 2 </w:t>
            </w:r>
          </w:p>
        </w:tc>
        <w:tc>
          <w:tcPr>
            <w:tcW w:w="11160" w:type="dxa"/>
            <w:gridSpan w:val="12"/>
            <w:shd w:val="clear" w:color="auto" w:fill="E7E6E6" w:themeFill="background2"/>
          </w:tcPr>
          <w:p w14:paraId="6F9E78A2" w14:textId="21EB790F" w:rsidR="00466437" w:rsidRPr="004870C7" w:rsidRDefault="00466437" w:rsidP="00466437">
            <w:pPr>
              <w:jc w:val="left"/>
              <w:rPr>
                <w:b/>
                <w:iCs/>
                <w:sz w:val="18"/>
                <w:szCs w:val="18"/>
                <w:highlight w:val="yellow"/>
              </w:rPr>
            </w:pPr>
            <w:r w:rsidRPr="004870C7">
              <w:rPr>
                <w:b/>
                <w:iCs/>
                <w:sz w:val="18"/>
                <w:szCs w:val="18"/>
              </w:rPr>
              <w:t>GHG Inventory</w:t>
            </w:r>
          </w:p>
        </w:tc>
      </w:tr>
      <w:tr w:rsidR="00BB7043" w:rsidRPr="004870C7" w14:paraId="453B714E" w14:textId="77777777" w:rsidTr="00BB7043">
        <w:trPr>
          <w:trHeight w:val="413"/>
        </w:trPr>
        <w:tc>
          <w:tcPr>
            <w:tcW w:w="3325" w:type="dxa"/>
            <w:shd w:val="pct12" w:color="auto" w:fill="auto"/>
          </w:tcPr>
          <w:p w14:paraId="29C35249" w14:textId="770EC178" w:rsidR="00BB7043" w:rsidRPr="004870C7" w:rsidRDefault="00BB7043" w:rsidP="00466437">
            <w:pPr>
              <w:jc w:val="left"/>
              <w:rPr>
                <w:rFonts w:ascii="Times New Roman" w:hAnsi="Times New Roman"/>
                <w:b/>
                <w:bCs/>
                <w:sz w:val="18"/>
                <w:szCs w:val="18"/>
              </w:rPr>
            </w:pPr>
            <w:r w:rsidRPr="004870C7">
              <w:rPr>
                <w:rFonts w:ascii="Times New Roman" w:hAnsi="Times New Roman"/>
                <w:b/>
                <w:bCs/>
                <w:sz w:val="18"/>
                <w:szCs w:val="18"/>
              </w:rPr>
              <w:t>Outcome 2.1</w:t>
            </w:r>
          </w:p>
          <w:p w14:paraId="252D8FC7" w14:textId="73DD25E2" w:rsidR="00BB7043" w:rsidRPr="004870C7" w:rsidRDefault="00BB7043" w:rsidP="000F1BDB">
            <w:pPr>
              <w:jc w:val="left"/>
              <w:rPr>
                <w:rFonts w:ascii="Times New Roman" w:hAnsi="Times New Roman"/>
                <w:b/>
                <w:bCs/>
                <w:sz w:val="18"/>
                <w:szCs w:val="18"/>
              </w:rPr>
            </w:pPr>
            <w:r w:rsidRPr="004870C7">
              <w:rPr>
                <w:rFonts w:ascii="Times New Roman" w:hAnsi="Times New Roman"/>
                <w:b/>
                <w:bCs/>
                <w:sz w:val="18"/>
                <w:szCs w:val="18"/>
              </w:rPr>
              <w:t>The comprehensive national system for preparation of GHG emission inventories</w:t>
            </w:r>
          </w:p>
        </w:tc>
        <w:tc>
          <w:tcPr>
            <w:tcW w:w="3510" w:type="dxa"/>
            <w:gridSpan w:val="5"/>
          </w:tcPr>
          <w:p w14:paraId="35244CFD" w14:textId="0350592C" w:rsidR="00BB7043" w:rsidRPr="004870C7" w:rsidRDefault="00BB7043" w:rsidP="000F1BDB">
            <w:pPr>
              <w:jc w:val="left"/>
              <w:rPr>
                <w:rFonts w:cs="Calibri"/>
                <w:bCs/>
                <w:i/>
                <w:sz w:val="18"/>
                <w:szCs w:val="18"/>
              </w:rPr>
            </w:pPr>
            <w:r w:rsidRPr="004870C7">
              <w:rPr>
                <w:rFonts w:cs="Calibri"/>
                <w:bCs/>
                <w:i/>
                <w:sz w:val="18"/>
                <w:szCs w:val="18"/>
              </w:rPr>
              <w:t xml:space="preserve">Indicator 7: </w:t>
            </w:r>
          </w:p>
          <w:p w14:paraId="5FF19936" w14:textId="5B0961F9" w:rsidR="00BB7043" w:rsidRPr="004870C7" w:rsidRDefault="00BB7043" w:rsidP="000F1BDB">
            <w:pPr>
              <w:jc w:val="left"/>
              <w:rPr>
                <w:rFonts w:cs="Calibri"/>
                <w:bCs/>
                <w:iCs/>
                <w:sz w:val="18"/>
                <w:szCs w:val="18"/>
              </w:rPr>
            </w:pPr>
            <w:r w:rsidRPr="004870C7">
              <w:rPr>
                <w:rFonts w:cs="Calibri"/>
                <w:bCs/>
                <w:iCs/>
                <w:sz w:val="18"/>
                <w:szCs w:val="18"/>
              </w:rPr>
              <w:t xml:space="preserve">GHG inventory data improved, and QA/QC plan implemented </w:t>
            </w:r>
          </w:p>
        </w:tc>
        <w:tc>
          <w:tcPr>
            <w:tcW w:w="2160" w:type="dxa"/>
            <w:gridSpan w:val="4"/>
          </w:tcPr>
          <w:p w14:paraId="528F973D" w14:textId="36820DB7" w:rsidR="00BB7043" w:rsidRPr="004870C7" w:rsidRDefault="00BB7043" w:rsidP="00466437">
            <w:pPr>
              <w:jc w:val="left"/>
              <w:rPr>
                <w:rFonts w:cs="Calibri"/>
                <w:bCs/>
                <w:iCs/>
                <w:sz w:val="18"/>
                <w:szCs w:val="18"/>
              </w:rPr>
            </w:pPr>
            <w:r w:rsidRPr="004870C7">
              <w:rPr>
                <w:rFonts w:cs="Calibri"/>
                <w:bCs/>
                <w:iCs/>
                <w:sz w:val="18"/>
                <w:szCs w:val="18"/>
              </w:rPr>
              <w:t>GHG Inventory up to 2019 will be developed within   TBUR</w:t>
            </w:r>
          </w:p>
        </w:tc>
        <w:tc>
          <w:tcPr>
            <w:tcW w:w="5490" w:type="dxa"/>
            <w:gridSpan w:val="3"/>
          </w:tcPr>
          <w:p w14:paraId="36B1273F" w14:textId="555986FD" w:rsidR="00BB7043" w:rsidRPr="004870C7" w:rsidRDefault="00BB7043" w:rsidP="00466437">
            <w:pPr>
              <w:jc w:val="left"/>
              <w:rPr>
                <w:rFonts w:cs="Calibri"/>
                <w:iCs/>
                <w:sz w:val="18"/>
                <w:szCs w:val="18"/>
              </w:rPr>
            </w:pPr>
            <w:r w:rsidRPr="004870C7">
              <w:rPr>
                <w:rFonts w:cs="Calibri"/>
                <w:bCs/>
                <w:iCs/>
                <w:sz w:val="18"/>
                <w:szCs w:val="18"/>
              </w:rPr>
              <w:t>GHG inventory data improved</w:t>
            </w:r>
            <w:r>
              <w:rPr>
                <w:rFonts w:cs="Calibri"/>
                <w:bCs/>
                <w:iCs/>
                <w:sz w:val="18"/>
                <w:szCs w:val="18"/>
              </w:rPr>
              <w:t>,</w:t>
            </w:r>
            <w:r w:rsidRPr="00BA70EA">
              <w:rPr>
                <w:rFonts w:cs="Calibri"/>
                <w:bCs/>
                <w:iCs/>
                <w:sz w:val="18"/>
                <w:szCs w:val="18"/>
              </w:rPr>
              <w:t xml:space="preserve"> national emission factors </w:t>
            </w:r>
            <w:r>
              <w:rPr>
                <w:rFonts w:cs="Calibri"/>
                <w:bCs/>
                <w:iCs/>
                <w:sz w:val="18"/>
                <w:szCs w:val="18"/>
              </w:rPr>
              <w:t xml:space="preserve">used </w:t>
            </w:r>
            <w:r w:rsidRPr="00BA70EA">
              <w:rPr>
                <w:rFonts w:cs="Calibri"/>
                <w:bCs/>
                <w:iCs/>
                <w:sz w:val="18"/>
                <w:szCs w:val="18"/>
              </w:rPr>
              <w:t>within input data for 2020-2022</w:t>
            </w:r>
            <w:r w:rsidRPr="004870C7">
              <w:rPr>
                <w:rFonts w:cs="Calibri"/>
                <w:bCs/>
                <w:iCs/>
                <w:sz w:val="18"/>
                <w:szCs w:val="18"/>
              </w:rPr>
              <w:t>, and QA/QC plan implemented</w:t>
            </w:r>
            <w:r>
              <w:rPr>
                <w:rFonts w:cs="Calibri"/>
                <w:bCs/>
                <w:iCs/>
                <w:sz w:val="18"/>
                <w:szCs w:val="18"/>
              </w:rPr>
              <w:t xml:space="preserve"> </w:t>
            </w:r>
          </w:p>
        </w:tc>
      </w:tr>
      <w:tr w:rsidR="00466437" w:rsidRPr="004870C7" w14:paraId="4AE32072" w14:textId="77777777" w:rsidTr="00205BC1">
        <w:trPr>
          <w:trHeight w:val="530"/>
        </w:trPr>
        <w:tc>
          <w:tcPr>
            <w:tcW w:w="3325" w:type="dxa"/>
            <w:shd w:val="pct12" w:color="auto" w:fill="auto"/>
          </w:tcPr>
          <w:p w14:paraId="3B886133" w14:textId="0C2106AB"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2.1</w:t>
            </w:r>
          </w:p>
        </w:tc>
        <w:tc>
          <w:tcPr>
            <w:tcW w:w="11160" w:type="dxa"/>
            <w:gridSpan w:val="12"/>
          </w:tcPr>
          <w:p w14:paraId="7171D232" w14:textId="2C87E4B3" w:rsidR="00466437" w:rsidRPr="004870C7" w:rsidRDefault="00466437" w:rsidP="00466437">
            <w:pPr>
              <w:jc w:val="left"/>
              <w:rPr>
                <w:bCs/>
                <w:iCs/>
                <w:sz w:val="18"/>
                <w:szCs w:val="18"/>
              </w:rPr>
            </w:pPr>
            <w:r w:rsidRPr="004870C7">
              <w:rPr>
                <w:bCs/>
                <w:iCs/>
                <w:sz w:val="18"/>
                <w:szCs w:val="18"/>
              </w:rPr>
              <w:t>2.1.1 National system for GHG Inventory, incl. procedures and arrangements for activity data collection, processing, storage, accuracy, completeness and gaps, as well as role of institutions involved in preparation of GHG inventory described</w:t>
            </w:r>
            <w:r w:rsidR="00B37BD4" w:rsidRPr="004870C7">
              <w:rPr>
                <w:bCs/>
                <w:iCs/>
                <w:sz w:val="18"/>
                <w:szCs w:val="18"/>
              </w:rPr>
              <w:t>.</w:t>
            </w:r>
          </w:p>
          <w:p w14:paraId="3699AFF1" w14:textId="424AF4A4" w:rsidR="00466437" w:rsidRPr="004870C7" w:rsidRDefault="00466437" w:rsidP="00466437">
            <w:pPr>
              <w:jc w:val="left"/>
              <w:rPr>
                <w:bCs/>
                <w:iCs/>
                <w:sz w:val="18"/>
                <w:szCs w:val="18"/>
              </w:rPr>
            </w:pPr>
            <w:r w:rsidRPr="004870C7">
              <w:rPr>
                <w:bCs/>
                <w:iCs/>
                <w:sz w:val="18"/>
                <w:szCs w:val="18"/>
              </w:rPr>
              <w:t>2.1.2 AFOLU and waste sector activity database improved, and new sub-categories identified and included into GHG inventory</w:t>
            </w:r>
            <w:r w:rsidR="00B37BD4" w:rsidRPr="004870C7">
              <w:rPr>
                <w:bCs/>
                <w:iCs/>
                <w:sz w:val="18"/>
                <w:szCs w:val="18"/>
              </w:rPr>
              <w:t>.</w:t>
            </w:r>
          </w:p>
          <w:p w14:paraId="40FF7A0E" w14:textId="728B2271" w:rsidR="00466437" w:rsidRPr="004870C7" w:rsidRDefault="00466437" w:rsidP="00466437">
            <w:pPr>
              <w:jc w:val="left"/>
              <w:rPr>
                <w:bCs/>
                <w:iCs/>
                <w:sz w:val="18"/>
                <w:szCs w:val="18"/>
              </w:rPr>
            </w:pPr>
            <w:r w:rsidRPr="004870C7">
              <w:rPr>
                <w:bCs/>
                <w:iCs/>
                <w:sz w:val="18"/>
                <w:szCs w:val="18"/>
              </w:rPr>
              <w:t>2.1.3 National emission factors (EFs) for key source categories and electricity grid emission factor (GEF) reassessed and GHG emissions recalculated based on EFs adjustments</w:t>
            </w:r>
            <w:r w:rsidR="00B37BD4" w:rsidRPr="004870C7">
              <w:rPr>
                <w:bCs/>
                <w:iCs/>
                <w:sz w:val="18"/>
                <w:szCs w:val="18"/>
              </w:rPr>
              <w:t>.</w:t>
            </w:r>
          </w:p>
          <w:p w14:paraId="7A05C853" w14:textId="5BCB7FDD" w:rsidR="00466437" w:rsidRPr="004870C7" w:rsidRDefault="00466437" w:rsidP="00466437">
            <w:pPr>
              <w:jc w:val="left"/>
              <w:rPr>
                <w:bCs/>
                <w:iCs/>
                <w:sz w:val="18"/>
                <w:szCs w:val="18"/>
                <w:highlight w:val="yellow"/>
              </w:rPr>
            </w:pPr>
            <w:r w:rsidRPr="004870C7">
              <w:rPr>
                <w:bCs/>
                <w:iCs/>
                <w:sz w:val="18"/>
                <w:szCs w:val="18"/>
              </w:rPr>
              <w:lastRenderedPageBreak/>
              <w:t>2.1.4 Quality Assurance and Quality Control plan developed, and QA/QC process implemented.</w:t>
            </w:r>
          </w:p>
        </w:tc>
      </w:tr>
      <w:tr w:rsidR="00ED339E" w:rsidRPr="004870C7" w14:paraId="2EAB1874" w14:textId="77777777" w:rsidTr="00205BC1">
        <w:trPr>
          <w:trHeight w:val="440"/>
        </w:trPr>
        <w:tc>
          <w:tcPr>
            <w:tcW w:w="3325" w:type="dxa"/>
            <w:shd w:val="pct12" w:color="auto" w:fill="auto"/>
          </w:tcPr>
          <w:p w14:paraId="06609ED8" w14:textId="6A097B2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lastRenderedPageBreak/>
              <w:t xml:space="preserve">Outcome </w:t>
            </w:r>
          </w:p>
          <w:p w14:paraId="16263916" w14:textId="77777777" w:rsidR="00ED339E" w:rsidRPr="004870C7" w:rsidRDefault="00ED339E" w:rsidP="000F1BDB">
            <w:pPr>
              <w:jc w:val="left"/>
              <w:rPr>
                <w:rFonts w:ascii="Times New Roman" w:hAnsi="Times New Roman"/>
                <w:b/>
                <w:bCs/>
                <w:sz w:val="18"/>
                <w:szCs w:val="18"/>
              </w:rPr>
            </w:pPr>
            <w:r w:rsidRPr="004870C7">
              <w:rPr>
                <w:rFonts w:ascii="Times New Roman" w:hAnsi="Times New Roman"/>
                <w:b/>
                <w:bCs/>
                <w:sz w:val="18"/>
                <w:szCs w:val="18"/>
              </w:rPr>
              <w:t>2.2. The national capacities enhancement for GHG inventory preparation and management</w:t>
            </w:r>
          </w:p>
          <w:p w14:paraId="5474024C" w14:textId="721B234D" w:rsidR="00ED339E" w:rsidRPr="004870C7" w:rsidRDefault="00ED339E" w:rsidP="000F1BDB">
            <w:pPr>
              <w:jc w:val="left"/>
              <w:rPr>
                <w:rFonts w:ascii="Times New Roman" w:hAnsi="Times New Roman"/>
                <w:sz w:val="18"/>
                <w:szCs w:val="18"/>
              </w:rPr>
            </w:pPr>
          </w:p>
        </w:tc>
        <w:tc>
          <w:tcPr>
            <w:tcW w:w="3510" w:type="dxa"/>
            <w:gridSpan w:val="5"/>
          </w:tcPr>
          <w:p w14:paraId="53B2BCD3" w14:textId="20B8D45C" w:rsidR="00ED339E" w:rsidRPr="004870C7" w:rsidRDefault="00ED339E" w:rsidP="00466437">
            <w:pPr>
              <w:jc w:val="left"/>
              <w:rPr>
                <w:rFonts w:cs="Calibri"/>
                <w:bCs/>
                <w:i/>
                <w:sz w:val="18"/>
                <w:szCs w:val="18"/>
              </w:rPr>
            </w:pPr>
            <w:r w:rsidRPr="004870C7">
              <w:rPr>
                <w:rFonts w:cs="Calibri"/>
                <w:bCs/>
                <w:i/>
                <w:sz w:val="18"/>
                <w:szCs w:val="18"/>
              </w:rPr>
              <w:t xml:space="preserve">Indicator 8: </w:t>
            </w:r>
          </w:p>
          <w:p w14:paraId="018910C7" w14:textId="179E1AF7" w:rsidR="00ED339E" w:rsidRPr="004870C7" w:rsidRDefault="00ED339E" w:rsidP="00466437">
            <w:pPr>
              <w:jc w:val="left"/>
              <w:rPr>
                <w:rFonts w:cs="Calibri"/>
                <w:bCs/>
                <w:iCs/>
                <w:sz w:val="18"/>
                <w:szCs w:val="18"/>
                <w:highlight w:val="yellow"/>
              </w:rPr>
            </w:pPr>
            <w:r w:rsidRPr="004870C7">
              <w:rPr>
                <w:rFonts w:cs="Calibri"/>
                <w:bCs/>
                <w:iCs/>
                <w:sz w:val="18"/>
                <w:szCs w:val="18"/>
              </w:rPr>
              <w:t xml:space="preserve">National GHG Inventory developed </w:t>
            </w:r>
            <w:r w:rsidRPr="004870C7">
              <w:rPr>
                <w:bCs/>
                <w:iCs/>
                <w:sz w:val="18"/>
                <w:szCs w:val="18"/>
              </w:rPr>
              <w:t>in accordance with 2006 IPCC Guidelines</w:t>
            </w:r>
            <w:r w:rsidRPr="004870C7">
              <w:rPr>
                <w:rFonts w:cs="Calibri"/>
                <w:bCs/>
                <w:iCs/>
                <w:sz w:val="18"/>
                <w:szCs w:val="18"/>
              </w:rPr>
              <w:t xml:space="preserve"> </w:t>
            </w:r>
          </w:p>
        </w:tc>
        <w:tc>
          <w:tcPr>
            <w:tcW w:w="2160" w:type="dxa"/>
            <w:gridSpan w:val="4"/>
          </w:tcPr>
          <w:p w14:paraId="02555CBE" w14:textId="17EE6D58" w:rsidR="00ED339E" w:rsidRPr="004870C7" w:rsidRDefault="00ED339E" w:rsidP="00466437">
            <w:pPr>
              <w:jc w:val="left"/>
              <w:rPr>
                <w:rFonts w:cs="Calibri"/>
                <w:bCs/>
                <w:iCs/>
                <w:sz w:val="18"/>
                <w:szCs w:val="18"/>
              </w:rPr>
            </w:pPr>
            <w:r w:rsidRPr="004870C7">
              <w:rPr>
                <w:rFonts w:cs="Calibri"/>
                <w:bCs/>
                <w:iCs/>
                <w:sz w:val="18"/>
                <w:szCs w:val="18"/>
              </w:rPr>
              <w:t>GHG Inventory up to 2019 will be developed within   TBUR</w:t>
            </w:r>
          </w:p>
        </w:tc>
        <w:tc>
          <w:tcPr>
            <w:tcW w:w="5490" w:type="dxa"/>
            <w:gridSpan w:val="3"/>
          </w:tcPr>
          <w:p w14:paraId="11B6D8E2" w14:textId="3B8FC546" w:rsidR="00ED339E" w:rsidRPr="004870C7" w:rsidRDefault="00ED339E" w:rsidP="00466437">
            <w:pPr>
              <w:jc w:val="left"/>
              <w:rPr>
                <w:rFonts w:cs="Calibri"/>
                <w:iCs/>
                <w:sz w:val="18"/>
                <w:szCs w:val="18"/>
              </w:rPr>
            </w:pPr>
            <w:r w:rsidRPr="004870C7">
              <w:rPr>
                <w:rFonts w:cs="Calibri"/>
                <w:iCs/>
                <w:sz w:val="18"/>
                <w:szCs w:val="18"/>
              </w:rPr>
              <w:t>GHG Inventory for three additional years (2020-2022) developed</w:t>
            </w:r>
          </w:p>
        </w:tc>
      </w:tr>
      <w:tr w:rsidR="00466437" w:rsidRPr="004870C7" w14:paraId="079B6679" w14:textId="77777777" w:rsidTr="00205BC1">
        <w:trPr>
          <w:trHeight w:val="440"/>
        </w:trPr>
        <w:tc>
          <w:tcPr>
            <w:tcW w:w="3325" w:type="dxa"/>
            <w:shd w:val="pct12" w:color="auto" w:fill="auto"/>
          </w:tcPr>
          <w:p w14:paraId="573D62BD" w14:textId="08C66761"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2.2</w:t>
            </w:r>
          </w:p>
        </w:tc>
        <w:tc>
          <w:tcPr>
            <w:tcW w:w="11160" w:type="dxa"/>
            <w:gridSpan w:val="12"/>
          </w:tcPr>
          <w:p w14:paraId="167B7396" w14:textId="77777777" w:rsidR="00466437" w:rsidRPr="004870C7" w:rsidRDefault="00466437" w:rsidP="00466437">
            <w:pPr>
              <w:jc w:val="left"/>
              <w:rPr>
                <w:bCs/>
                <w:iCs/>
                <w:sz w:val="18"/>
                <w:szCs w:val="18"/>
              </w:rPr>
            </w:pPr>
            <w:r w:rsidRPr="004870C7">
              <w:rPr>
                <w:bCs/>
                <w:iCs/>
                <w:sz w:val="18"/>
                <w:szCs w:val="18"/>
              </w:rPr>
              <w:t>2.2.1 National GHG inventory for the sectors: energy, IPPU, AFOLU and waste in accordance with 2006 IPCC Guidelines, 2019 Refinement to the 2006 IPCC Guidelines for National Greenhouse Gas Inventories and 2003 GHG-LULUCF Guidelines, using IPCC software, with introduction of Tier II to the extent possible for the years 2020-2022 prepared;</w:t>
            </w:r>
          </w:p>
          <w:p w14:paraId="190E029C" w14:textId="23B0772D" w:rsidR="00466437" w:rsidRPr="004870C7" w:rsidRDefault="00466437" w:rsidP="00466437">
            <w:pPr>
              <w:jc w:val="left"/>
              <w:rPr>
                <w:bCs/>
                <w:iCs/>
                <w:sz w:val="18"/>
                <w:szCs w:val="18"/>
              </w:rPr>
            </w:pPr>
            <w:r w:rsidRPr="004870C7">
              <w:rPr>
                <w:bCs/>
                <w:iCs/>
                <w:sz w:val="18"/>
                <w:szCs w:val="18"/>
              </w:rPr>
              <w:t>2.2.2 GWP values for GHGs from the IPCC Fifth Assessment Report used</w:t>
            </w:r>
            <w:r w:rsidR="00B37BD4" w:rsidRPr="004870C7">
              <w:rPr>
                <w:bCs/>
                <w:iCs/>
                <w:sz w:val="18"/>
                <w:szCs w:val="18"/>
              </w:rPr>
              <w:t>.</w:t>
            </w:r>
          </w:p>
          <w:p w14:paraId="4986C83A" w14:textId="6BDADBC5" w:rsidR="00466437" w:rsidRPr="004870C7" w:rsidRDefault="00466437" w:rsidP="00466437">
            <w:pPr>
              <w:jc w:val="left"/>
              <w:rPr>
                <w:bCs/>
                <w:iCs/>
                <w:sz w:val="18"/>
                <w:szCs w:val="18"/>
              </w:rPr>
            </w:pPr>
            <w:r w:rsidRPr="004870C7">
              <w:rPr>
                <w:bCs/>
                <w:iCs/>
                <w:sz w:val="18"/>
                <w:szCs w:val="18"/>
              </w:rPr>
              <w:t>2.2.3 Uncertainty analysis and analysis of the key source categories’ GHG emissions conducted</w:t>
            </w:r>
            <w:r w:rsidR="00B37BD4" w:rsidRPr="004870C7">
              <w:rPr>
                <w:bCs/>
                <w:iCs/>
                <w:sz w:val="18"/>
                <w:szCs w:val="18"/>
              </w:rPr>
              <w:t>.</w:t>
            </w:r>
          </w:p>
          <w:p w14:paraId="6901DD80" w14:textId="4E10DB10" w:rsidR="00466437" w:rsidRPr="004870C7" w:rsidRDefault="00466437" w:rsidP="00B37BD4">
            <w:pPr>
              <w:jc w:val="left"/>
              <w:rPr>
                <w:bCs/>
                <w:iCs/>
                <w:sz w:val="18"/>
                <w:szCs w:val="18"/>
                <w:highlight w:val="yellow"/>
              </w:rPr>
            </w:pPr>
            <w:r w:rsidRPr="004870C7">
              <w:rPr>
                <w:bCs/>
                <w:iCs/>
                <w:sz w:val="18"/>
                <w:szCs w:val="18"/>
              </w:rPr>
              <w:t>2.2.4 Link to Convention on Long-Range Transboundary Air Pollution – CLRTAP (EEA/EMEP) inventory established</w:t>
            </w:r>
            <w:r w:rsidR="00B37BD4" w:rsidRPr="004870C7">
              <w:rPr>
                <w:bCs/>
                <w:iCs/>
                <w:sz w:val="18"/>
                <w:szCs w:val="18"/>
              </w:rPr>
              <w:t>.</w:t>
            </w:r>
          </w:p>
        </w:tc>
      </w:tr>
      <w:tr w:rsidR="00ED339E" w:rsidRPr="004870C7" w14:paraId="15696DF3" w14:textId="2E5D77FF" w:rsidTr="00205BC1">
        <w:trPr>
          <w:trHeight w:val="620"/>
        </w:trPr>
        <w:tc>
          <w:tcPr>
            <w:tcW w:w="3325" w:type="dxa"/>
            <w:shd w:val="clear" w:color="auto" w:fill="E7E6E6" w:themeFill="background2"/>
          </w:tcPr>
          <w:p w14:paraId="22F19939" w14:textId="3E78B068"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455A13DD" w14:textId="77777777" w:rsidR="00ED339E" w:rsidRPr="004870C7" w:rsidRDefault="00ED339E" w:rsidP="00466437">
            <w:pPr>
              <w:jc w:val="left"/>
              <w:rPr>
                <w:rFonts w:ascii="Times New Roman" w:hAnsi="Times New Roman"/>
                <w:b/>
                <w:bCs/>
                <w:sz w:val="18"/>
                <w:szCs w:val="18"/>
              </w:rPr>
            </w:pPr>
            <w:r w:rsidRPr="004870C7">
              <w:rPr>
                <w:rFonts w:ascii="Times New Roman" w:hAnsi="Times New Roman"/>
                <w:b/>
                <w:bCs/>
                <w:sz w:val="18"/>
                <w:szCs w:val="18"/>
              </w:rPr>
              <w:t>2.3. Reporting on national sectorial inventories for emissions by sources and removal by sinks of all GHGs</w:t>
            </w:r>
          </w:p>
          <w:p w14:paraId="4F2D8121" w14:textId="06033D7A" w:rsidR="00ED339E" w:rsidRPr="004870C7" w:rsidRDefault="00ED339E" w:rsidP="00466437">
            <w:pPr>
              <w:jc w:val="left"/>
              <w:rPr>
                <w:rFonts w:ascii="Times New Roman" w:hAnsi="Times New Roman"/>
                <w:b/>
                <w:bCs/>
                <w:sz w:val="18"/>
                <w:szCs w:val="18"/>
              </w:rPr>
            </w:pPr>
          </w:p>
        </w:tc>
        <w:tc>
          <w:tcPr>
            <w:tcW w:w="3492" w:type="dxa"/>
            <w:gridSpan w:val="4"/>
            <w:shd w:val="clear" w:color="auto" w:fill="auto"/>
          </w:tcPr>
          <w:p w14:paraId="46AA8447" w14:textId="35515849" w:rsidR="00ED339E" w:rsidRPr="004870C7" w:rsidRDefault="00ED339E" w:rsidP="000F1BDB">
            <w:pPr>
              <w:jc w:val="left"/>
              <w:rPr>
                <w:rFonts w:ascii="Times New Roman" w:hAnsi="Times New Roman"/>
                <w:bCs/>
                <w:i/>
                <w:sz w:val="18"/>
                <w:szCs w:val="18"/>
              </w:rPr>
            </w:pPr>
            <w:r w:rsidRPr="004870C7">
              <w:rPr>
                <w:rFonts w:ascii="Times New Roman" w:hAnsi="Times New Roman"/>
                <w:bCs/>
                <w:i/>
                <w:sz w:val="18"/>
                <w:szCs w:val="18"/>
              </w:rPr>
              <w:t xml:space="preserve">Indicator 9: </w:t>
            </w:r>
          </w:p>
          <w:p w14:paraId="7F2B869A" w14:textId="77777777" w:rsidR="00ED339E" w:rsidRPr="004870C7" w:rsidRDefault="00ED339E" w:rsidP="000F1BDB">
            <w:pPr>
              <w:jc w:val="left"/>
              <w:rPr>
                <w:rFonts w:cs="Calibri"/>
                <w:bCs/>
                <w:iCs/>
                <w:sz w:val="18"/>
                <w:szCs w:val="18"/>
              </w:rPr>
            </w:pPr>
            <w:r w:rsidRPr="004870C7">
              <w:rPr>
                <w:rFonts w:cs="Calibri"/>
                <w:bCs/>
                <w:iCs/>
                <w:sz w:val="18"/>
                <w:szCs w:val="18"/>
              </w:rPr>
              <w:t>National Inventory Report on anthropogenic GHG emissions by sources and removals by sinks updated with three additional years (2020-2022)</w:t>
            </w:r>
          </w:p>
          <w:p w14:paraId="1FBF9FFD" w14:textId="77777777" w:rsidR="00ED339E" w:rsidRPr="004870C7" w:rsidRDefault="00ED339E" w:rsidP="00466437">
            <w:pPr>
              <w:jc w:val="left"/>
              <w:rPr>
                <w:b/>
                <w:iCs/>
                <w:sz w:val="18"/>
                <w:szCs w:val="18"/>
                <w:highlight w:val="yellow"/>
              </w:rPr>
            </w:pPr>
          </w:p>
        </w:tc>
        <w:tc>
          <w:tcPr>
            <w:tcW w:w="2160" w:type="dxa"/>
            <w:gridSpan w:val="3"/>
            <w:shd w:val="clear" w:color="auto" w:fill="auto"/>
          </w:tcPr>
          <w:p w14:paraId="40FE7030" w14:textId="647274AD" w:rsidR="00ED339E" w:rsidRPr="004870C7" w:rsidRDefault="00ED339E" w:rsidP="00466437">
            <w:pPr>
              <w:jc w:val="left"/>
              <w:rPr>
                <w:b/>
                <w:iCs/>
                <w:sz w:val="18"/>
                <w:szCs w:val="18"/>
                <w:highlight w:val="yellow"/>
              </w:rPr>
            </w:pPr>
            <w:r w:rsidRPr="004870C7">
              <w:rPr>
                <w:rFonts w:cs="Calibri"/>
                <w:bCs/>
                <w:iCs/>
                <w:sz w:val="18"/>
                <w:szCs w:val="18"/>
              </w:rPr>
              <w:t>NIR up to 2019 will be developed within TBUR</w:t>
            </w:r>
          </w:p>
        </w:tc>
        <w:tc>
          <w:tcPr>
            <w:tcW w:w="5508" w:type="dxa"/>
            <w:gridSpan w:val="5"/>
            <w:shd w:val="clear" w:color="auto" w:fill="auto"/>
          </w:tcPr>
          <w:p w14:paraId="52D14C13" w14:textId="208E3A3B" w:rsidR="00ED339E" w:rsidRPr="004870C7" w:rsidRDefault="00ED339E" w:rsidP="00466437">
            <w:pPr>
              <w:jc w:val="left"/>
              <w:rPr>
                <w:b/>
                <w:iCs/>
                <w:sz w:val="18"/>
                <w:szCs w:val="18"/>
                <w:highlight w:val="yellow"/>
              </w:rPr>
            </w:pPr>
            <w:r w:rsidRPr="004870C7">
              <w:rPr>
                <w:rFonts w:cs="Calibri"/>
                <w:iCs/>
                <w:sz w:val="18"/>
                <w:szCs w:val="18"/>
              </w:rPr>
              <w:t>NIR up to 2022 developed</w:t>
            </w:r>
          </w:p>
        </w:tc>
      </w:tr>
      <w:tr w:rsidR="00466437" w:rsidRPr="004870C7" w14:paraId="21E0566A" w14:textId="77777777" w:rsidTr="00205BC1">
        <w:trPr>
          <w:trHeight w:val="620"/>
        </w:trPr>
        <w:tc>
          <w:tcPr>
            <w:tcW w:w="3325" w:type="dxa"/>
            <w:shd w:val="clear" w:color="auto" w:fill="E7E6E6" w:themeFill="background2"/>
          </w:tcPr>
          <w:p w14:paraId="1D37BA83" w14:textId="2768BD11"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2.3</w:t>
            </w:r>
          </w:p>
        </w:tc>
        <w:tc>
          <w:tcPr>
            <w:tcW w:w="11160" w:type="dxa"/>
            <w:gridSpan w:val="12"/>
            <w:shd w:val="clear" w:color="auto" w:fill="E7E6E6" w:themeFill="background2"/>
          </w:tcPr>
          <w:p w14:paraId="2748BFCC" w14:textId="187485C3" w:rsidR="00466437" w:rsidRPr="004870C7" w:rsidRDefault="00466437" w:rsidP="00466437">
            <w:pPr>
              <w:jc w:val="left"/>
              <w:rPr>
                <w:bCs/>
                <w:iCs/>
                <w:sz w:val="18"/>
                <w:szCs w:val="18"/>
              </w:rPr>
            </w:pPr>
            <w:r w:rsidRPr="004870C7">
              <w:rPr>
                <w:bCs/>
                <w:iCs/>
                <w:sz w:val="18"/>
                <w:szCs w:val="18"/>
              </w:rPr>
              <w:t>2.3.1 National inventory report (NIR) as a summary or as an update of the information contained in chapter III (National greenhouse gas inventories) of the annex to decision 17/CP.8. produced</w:t>
            </w:r>
            <w:r w:rsidR="000F1BDB" w:rsidRPr="004870C7">
              <w:rPr>
                <w:bCs/>
                <w:iCs/>
                <w:sz w:val="18"/>
                <w:szCs w:val="18"/>
              </w:rPr>
              <w:t>.</w:t>
            </w:r>
          </w:p>
          <w:p w14:paraId="7DFB0449" w14:textId="2CF2C0F0" w:rsidR="00466437" w:rsidRPr="004870C7" w:rsidRDefault="00466437" w:rsidP="00466437">
            <w:pPr>
              <w:jc w:val="left"/>
              <w:rPr>
                <w:b/>
                <w:iCs/>
                <w:sz w:val="18"/>
                <w:szCs w:val="18"/>
                <w:highlight w:val="yellow"/>
              </w:rPr>
            </w:pPr>
            <w:r w:rsidRPr="004870C7">
              <w:rPr>
                <w:bCs/>
                <w:iCs/>
                <w:sz w:val="18"/>
                <w:szCs w:val="18"/>
              </w:rPr>
              <w:t>2.3.2 Constraints facing GHG inventories per sectors reviewed.</w:t>
            </w:r>
          </w:p>
        </w:tc>
      </w:tr>
      <w:tr w:rsidR="00466437" w:rsidRPr="004870C7" w14:paraId="1487238F" w14:textId="77777777" w:rsidTr="00205BC1">
        <w:trPr>
          <w:trHeight w:val="620"/>
        </w:trPr>
        <w:tc>
          <w:tcPr>
            <w:tcW w:w="3325" w:type="dxa"/>
            <w:shd w:val="clear" w:color="auto" w:fill="E7E6E6" w:themeFill="background2"/>
          </w:tcPr>
          <w:p w14:paraId="6FB6E3CE" w14:textId="493C4C00"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Project component 3 </w:t>
            </w:r>
          </w:p>
        </w:tc>
        <w:tc>
          <w:tcPr>
            <w:tcW w:w="11160" w:type="dxa"/>
            <w:gridSpan w:val="12"/>
            <w:shd w:val="clear" w:color="auto" w:fill="E7E6E6" w:themeFill="background2"/>
          </w:tcPr>
          <w:p w14:paraId="564E4A59" w14:textId="05A6978C" w:rsidR="00466437" w:rsidRPr="004870C7" w:rsidRDefault="00466437" w:rsidP="00466437">
            <w:pPr>
              <w:jc w:val="left"/>
              <w:rPr>
                <w:b/>
                <w:iCs/>
                <w:sz w:val="18"/>
                <w:szCs w:val="18"/>
                <w:highlight w:val="yellow"/>
              </w:rPr>
            </w:pPr>
            <w:r w:rsidRPr="004870C7">
              <w:rPr>
                <w:b/>
                <w:iCs/>
                <w:sz w:val="18"/>
                <w:szCs w:val="18"/>
              </w:rPr>
              <w:t>Track Progress of NDC implementation and Achievement and Mitigation Actions</w:t>
            </w:r>
          </w:p>
        </w:tc>
      </w:tr>
      <w:tr w:rsidR="00205BC1" w:rsidRPr="004870C7" w14:paraId="07CE9332" w14:textId="77777777" w:rsidTr="00205BC1">
        <w:trPr>
          <w:trHeight w:val="558"/>
        </w:trPr>
        <w:tc>
          <w:tcPr>
            <w:tcW w:w="3325" w:type="dxa"/>
            <w:shd w:val="pct12" w:color="auto" w:fill="auto"/>
          </w:tcPr>
          <w:p w14:paraId="1F6BD5A8" w14:textId="7829F98B"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4A6FA580" w14:textId="7D57532C"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3.1. The analysis of policies and measures undertaken by the government to reduce GHG emissions by sector (energy, IPPU, AFOLU and waste) carried out</w:t>
            </w:r>
          </w:p>
        </w:tc>
        <w:tc>
          <w:tcPr>
            <w:tcW w:w="3510" w:type="dxa"/>
            <w:gridSpan w:val="5"/>
          </w:tcPr>
          <w:p w14:paraId="5BBB5953" w14:textId="0D185A87" w:rsidR="00205BC1" w:rsidRPr="004870C7" w:rsidRDefault="00205BC1" w:rsidP="00466437">
            <w:pPr>
              <w:jc w:val="left"/>
              <w:rPr>
                <w:rFonts w:ascii="Times New Roman" w:hAnsi="Times New Roman"/>
                <w:bCs/>
                <w:i/>
                <w:sz w:val="18"/>
                <w:szCs w:val="18"/>
              </w:rPr>
            </w:pPr>
            <w:r w:rsidRPr="004870C7">
              <w:rPr>
                <w:rFonts w:ascii="Times New Roman" w:hAnsi="Times New Roman"/>
                <w:bCs/>
                <w:i/>
                <w:sz w:val="18"/>
                <w:szCs w:val="18"/>
              </w:rPr>
              <w:t>Indicator 10:</w:t>
            </w:r>
          </w:p>
          <w:p w14:paraId="75A0FE6E" w14:textId="77777777" w:rsidR="00205BC1" w:rsidRPr="004870C7" w:rsidRDefault="00205BC1" w:rsidP="00466437">
            <w:pPr>
              <w:jc w:val="left"/>
              <w:rPr>
                <w:rFonts w:cs="Calibri"/>
                <w:bCs/>
                <w:iCs/>
                <w:sz w:val="18"/>
                <w:szCs w:val="18"/>
              </w:rPr>
            </w:pPr>
          </w:p>
          <w:p w14:paraId="382D063A" w14:textId="08AD03BE" w:rsidR="00205BC1" w:rsidRPr="004870C7" w:rsidRDefault="00205BC1" w:rsidP="00466437">
            <w:pPr>
              <w:jc w:val="left"/>
              <w:rPr>
                <w:rFonts w:cs="Calibri"/>
                <w:bCs/>
                <w:iCs/>
                <w:sz w:val="18"/>
                <w:szCs w:val="18"/>
                <w:highlight w:val="yellow"/>
              </w:rPr>
            </w:pPr>
            <w:r w:rsidRPr="004870C7">
              <w:rPr>
                <w:rFonts w:cs="Calibri"/>
                <w:bCs/>
                <w:iCs/>
                <w:sz w:val="18"/>
                <w:szCs w:val="18"/>
              </w:rPr>
              <w:t xml:space="preserve">Analysis of national policies and measures to reduce GHG emissions described </w:t>
            </w:r>
          </w:p>
        </w:tc>
        <w:tc>
          <w:tcPr>
            <w:tcW w:w="2160" w:type="dxa"/>
            <w:gridSpan w:val="4"/>
          </w:tcPr>
          <w:p w14:paraId="3254BA09" w14:textId="26B14627" w:rsidR="00205BC1" w:rsidRPr="004870C7" w:rsidRDefault="00205BC1" w:rsidP="00466437">
            <w:pPr>
              <w:jc w:val="left"/>
              <w:rPr>
                <w:rFonts w:cs="Calibri"/>
                <w:bCs/>
                <w:iCs/>
                <w:sz w:val="18"/>
                <w:szCs w:val="18"/>
                <w:highlight w:val="yellow"/>
              </w:rPr>
            </w:pPr>
            <w:r w:rsidRPr="004870C7">
              <w:rPr>
                <w:rFonts w:cs="Calibri"/>
                <w:bCs/>
                <w:iCs/>
                <w:sz w:val="18"/>
                <w:szCs w:val="18"/>
              </w:rPr>
              <w:t xml:space="preserve">Revised NDC </w:t>
            </w:r>
            <w:r w:rsidR="00C05FE9">
              <w:rPr>
                <w:rFonts w:cs="Calibri"/>
                <w:bCs/>
                <w:iCs/>
                <w:sz w:val="18"/>
                <w:szCs w:val="18"/>
              </w:rPr>
              <w:t>was submitted on 15 June 2021</w:t>
            </w:r>
            <w:r w:rsidRPr="004870C7">
              <w:rPr>
                <w:rFonts w:cs="Calibri"/>
                <w:bCs/>
                <w:iCs/>
                <w:sz w:val="18"/>
                <w:szCs w:val="18"/>
              </w:rPr>
              <w:t xml:space="preserve"> and mitigation analysis as part of TBUR will be submitted by end of 2021.</w:t>
            </w:r>
          </w:p>
        </w:tc>
        <w:tc>
          <w:tcPr>
            <w:tcW w:w="5490" w:type="dxa"/>
            <w:gridSpan w:val="3"/>
          </w:tcPr>
          <w:p w14:paraId="5FD4F52C" w14:textId="686C50E4" w:rsidR="00205BC1" w:rsidRPr="004870C7" w:rsidRDefault="00205BC1" w:rsidP="00466437">
            <w:pPr>
              <w:jc w:val="left"/>
              <w:rPr>
                <w:rFonts w:cs="Calibri"/>
                <w:iCs/>
                <w:highlight w:val="yellow"/>
              </w:rPr>
            </w:pPr>
            <w:r w:rsidRPr="004870C7">
              <w:rPr>
                <w:rFonts w:cs="Calibri"/>
                <w:bCs/>
                <w:iCs/>
                <w:sz w:val="18"/>
                <w:szCs w:val="18"/>
              </w:rPr>
              <w:t xml:space="preserve">Analysis of national policies and measures to reduce GHG emissions </w:t>
            </w:r>
            <w:r w:rsidR="001F6990">
              <w:rPr>
                <w:rFonts w:cs="Calibri"/>
                <w:bCs/>
                <w:iCs/>
                <w:sz w:val="18"/>
                <w:szCs w:val="18"/>
              </w:rPr>
              <w:t xml:space="preserve">including revised NDC will be </w:t>
            </w:r>
            <w:r w:rsidRPr="004870C7">
              <w:rPr>
                <w:rFonts w:cs="Calibri"/>
                <w:bCs/>
                <w:iCs/>
                <w:sz w:val="18"/>
                <w:szCs w:val="18"/>
              </w:rPr>
              <w:t>developed and  presented as part of the Mitigation Chapter of the Report</w:t>
            </w:r>
          </w:p>
        </w:tc>
      </w:tr>
      <w:tr w:rsidR="00466437" w:rsidRPr="004870C7" w14:paraId="0B9A24FA" w14:textId="77777777" w:rsidTr="00205BC1">
        <w:trPr>
          <w:trHeight w:val="350"/>
        </w:trPr>
        <w:tc>
          <w:tcPr>
            <w:tcW w:w="3325" w:type="dxa"/>
            <w:shd w:val="pct12" w:color="auto" w:fill="auto"/>
          </w:tcPr>
          <w:p w14:paraId="12428493" w14:textId="32C7ACB9"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3.1</w:t>
            </w:r>
          </w:p>
        </w:tc>
        <w:tc>
          <w:tcPr>
            <w:tcW w:w="11160" w:type="dxa"/>
            <w:gridSpan w:val="12"/>
          </w:tcPr>
          <w:p w14:paraId="1857740E" w14:textId="43445A28" w:rsidR="00466437" w:rsidRPr="004870C7" w:rsidRDefault="00466437" w:rsidP="00466437">
            <w:pPr>
              <w:jc w:val="left"/>
              <w:rPr>
                <w:bCs/>
                <w:iCs/>
                <w:sz w:val="18"/>
                <w:szCs w:val="18"/>
              </w:rPr>
            </w:pPr>
            <w:r w:rsidRPr="004870C7">
              <w:rPr>
                <w:bCs/>
                <w:iCs/>
                <w:sz w:val="18"/>
                <w:szCs w:val="18"/>
              </w:rPr>
              <w:t>3.1.1 The national system for policies and measures, as well as projections described</w:t>
            </w:r>
            <w:r w:rsidR="007C3C10" w:rsidRPr="004870C7">
              <w:rPr>
                <w:bCs/>
                <w:iCs/>
                <w:sz w:val="18"/>
                <w:szCs w:val="18"/>
              </w:rPr>
              <w:t>.</w:t>
            </w:r>
          </w:p>
          <w:p w14:paraId="6E0C0D68" w14:textId="2C5396D6" w:rsidR="00466437" w:rsidRPr="004870C7" w:rsidRDefault="00466437" w:rsidP="00466437">
            <w:pPr>
              <w:jc w:val="left"/>
              <w:rPr>
                <w:bCs/>
                <w:iCs/>
                <w:sz w:val="18"/>
                <w:szCs w:val="18"/>
              </w:rPr>
            </w:pPr>
            <w:r w:rsidRPr="004870C7">
              <w:rPr>
                <w:bCs/>
                <w:iCs/>
                <w:sz w:val="18"/>
                <w:szCs w:val="18"/>
              </w:rPr>
              <w:t>3.1.2 The monitoring and analysis of the legal and strategical framework covering implemented, adopted and planned national climate change policies and measures and appropriate projections outlined, incl. recommendations to improve the legislation for GHG emission abatement forecast</w:t>
            </w:r>
            <w:r w:rsidR="007C3C10" w:rsidRPr="004870C7">
              <w:rPr>
                <w:bCs/>
                <w:iCs/>
                <w:sz w:val="18"/>
                <w:szCs w:val="18"/>
              </w:rPr>
              <w:t>.</w:t>
            </w:r>
          </w:p>
          <w:p w14:paraId="5F6B4431" w14:textId="12538F33" w:rsidR="00466437" w:rsidRPr="004870C7" w:rsidRDefault="00466437" w:rsidP="00466437">
            <w:pPr>
              <w:jc w:val="left"/>
              <w:rPr>
                <w:bCs/>
                <w:iCs/>
                <w:sz w:val="18"/>
                <w:szCs w:val="18"/>
              </w:rPr>
            </w:pPr>
            <w:r w:rsidRPr="004870C7">
              <w:rPr>
                <w:bCs/>
                <w:iCs/>
                <w:sz w:val="18"/>
                <w:szCs w:val="18"/>
              </w:rPr>
              <w:t>3.1.3 The projections input data for BAU, WEM and WAM scenarios development updated</w:t>
            </w:r>
            <w:r w:rsidR="007C3C10" w:rsidRPr="004870C7">
              <w:rPr>
                <w:bCs/>
                <w:iCs/>
                <w:sz w:val="18"/>
                <w:szCs w:val="18"/>
              </w:rPr>
              <w:t>.</w:t>
            </w:r>
          </w:p>
          <w:p w14:paraId="086BE28C" w14:textId="77777777" w:rsidR="00466437" w:rsidRPr="004870C7" w:rsidRDefault="00466437" w:rsidP="007C3C10">
            <w:pPr>
              <w:jc w:val="left"/>
              <w:rPr>
                <w:bCs/>
                <w:iCs/>
                <w:sz w:val="18"/>
                <w:szCs w:val="18"/>
              </w:rPr>
            </w:pPr>
            <w:r w:rsidRPr="004870C7">
              <w:rPr>
                <w:bCs/>
                <w:iCs/>
                <w:sz w:val="18"/>
                <w:szCs w:val="18"/>
              </w:rPr>
              <w:t>3.1.4 The implementation of internal emissions trading system and emissions allocations to the stationary combustion operators investigated</w:t>
            </w:r>
            <w:r w:rsidR="007C3C10" w:rsidRPr="004870C7">
              <w:rPr>
                <w:bCs/>
                <w:iCs/>
                <w:sz w:val="18"/>
                <w:szCs w:val="18"/>
              </w:rPr>
              <w:t>.</w:t>
            </w:r>
          </w:p>
          <w:p w14:paraId="1CE4ABA9" w14:textId="05AE3D22" w:rsidR="007C3C10" w:rsidRPr="004870C7" w:rsidRDefault="007C3C10" w:rsidP="007C3C10">
            <w:pPr>
              <w:jc w:val="left"/>
              <w:rPr>
                <w:bCs/>
                <w:iCs/>
                <w:sz w:val="18"/>
                <w:szCs w:val="18"/>
                <w:highlight w:val="yellow"/>
              </w:rPr>
            </w:pPr>
          </w:p>
        </w:tc>
      </w:tr>
      <w:tr w:rsidR="00BB7043" w:rsidRPr="004870C7" w14:paraId="4028A771" w14:textId="77777777" w:rsidTr="00BB7043">
        <w:trPr>
          <w:trHeight w:val="584"/>
        </w:trPr>
        <w:tc>
          <w:tcPr>
            <w:tcW w:w="3325" w:type="dxa"/>
            <w:shd w:val="pct12" w:color="auto" w:fill="auto"/>
          </w:tcPr>
          <w:p w14:paraId="33892F3D" w14:textId="3139F7F8" w:rsidR="00BB7043" w:rsidRPr="004870C7" w:rsidRDefault="00BB7043" w:rsidP="00466437">
            <w:pPr>
              <w:jc w:val="left"/>
              <w:rPr>
                <w:rFonts w:ascii="Times New Roman" w:hAnsi="Times New Roman"/>
                <w:b/>
                <w:bCs/>
                <w:sz w:val="18"/>
                <w:szCs w:val="18"/>
              </w:rPr>
            </w:pPr>
            <w:r w:rsidRPr="004870C7">
              <w:rPr>
                <w:rFonts w:ascii="Times New Roman" w:hAnsi="Times New Roman"/>
                <w:b/>
                <w:bCs/>
                <w:sz w:val="18"/>
                <w:szCs w:val="18"/>
              </w:rPr>
              <w:lastRenderedPageBreak/>
              <w:t xml:space="preserve">Outcome </w:t>
            </w:r>
          </w:p>
          <w:p w14:paraId="377C58BE" w14:textId="77777777" w:rsidR="00BB7043" w:rsidRPr="004870C7" w:rsidRDefault="00BB7043" w:rsidP="00466437">
            <w:pPr>
              <w:jc w:val="left"/>
              <w:rPr>
                <w:rFonts w:ascii="Times New Roman" w:hAnsi="Times New Roman"/>
                <w:b/>
                <w:bCs/>
                <w:sz w:val="18"/>
                <w:szCs w:val="18"/>
              </w:rPr>
            </w:pPr>
            <w:r w:rsidRPr="004870C7">
              <w:rPr>
                <w:rFonts w:ascii="Times New Roman" w:hAnsi="Times New Roman"/>
                <w:b/>
                <w:bCs/>
                <w:sz w:val="18"/>
                <w:szCs w:val="18"/>
              </w:rPr>
              <w:t>3.2. The projections of GHG emissions up to 2040, under the Paris Agreement, in the main sectors and NDC roadmap 2025-2030 completed</w:t>
            </w:r>
          </w:p>
          <w:p w14:paraId="18BDC73E" w14:textId="77777777" w:rsidR="00BB7043" w:rsidRPr="004870C7" w:rsidRDefault="00BB7043" w:rsidP="00466437">
            <w:pPr>
              <w:jc w:val="left"/>
              <w:rPr>
                <w:rFonts w:ascii="Times New Roman" w:hAnsi="Times New Roman"/>
                <w:b/>
                <w:bCs/>
                <w:sz w:val="18"/>
                <w:szCs w:val="18"/>
              </w:rPr>
            </w:pPr>
          </w:p>
          <w:p w14:paraId="75F022AF" w14:textId="3E278350" w:rsidR="00BB7043" w:rsidRPr="004870C7" w:rsidRDefault="00BB7043" w:rsidP="00466437">
            <w:pPr>
              <w:jc w:val="left"/>
              <w:rPr>
                <w:rFonts w:ascii="Times New Roman" w:hAnsi="Times New Roman"/>
                <w:b/>
                <w:bCs/>
                <w:sz w:val="18"/>
                <w:szCs w:val="18"/>
              </w:rPr>
            </w:pPr>
          </w:p>
        </w:tc>
        <w:tc>
          <w:tcPr>
            <w:tcW w:w="3510" w:type="dxa"/>
            <w:gridSpan w:val="5"/>
          </w:tcPr>
          <w:p w14:paraId="1FD7A6A6" w14:textId="7A55B3B2" w:rsidR="00BB7043" w:rsidRPr="004870C7" w:rsidRDefault="00BB7043" w:rsidP="00466437">
            <w:pPr>
              <w:jc w:val="left"/>
              <w:rPr>
                <w:rFonts w:cs="Calibri"/>
                <w:bCs/>
                <w:i/>
                <w:sz w:val="18"/>
                <w:szCs w:val="18"/>
              </w:rPr>
            </w:pPr>
            <w:r w:rsidRPr="004870C7">
              <w:rPr>
                <w:rFonts w:cs="Calibri"/>
                <w:bCs/>
                <w:i/>
                <w:sz w:val="18"/>
                <w:szCs w:val="18"/>
              </w:rPr>
              <w:t xml:space="preserve">Indicator 11: </w:t>
            </w:r>
          </w:p>
          <w:p w14:paraId="1CA9602A" w14:textId="77777777" w:rsidR="00BB7043" w:rsidRPr="004870C7" w:rsidRDefault="00BB7043" w:rsidP="00466437">
            <w:pPr>
              <w:jc w:val="left"/>
              <w:rPr>
                <w:rFonts w:cs="Calibri"/>
                <w:bCs/>
                <w:iCs/>
                <w:sz w:val="18"/>
                <w:szCs w:val="18"/>
              </w:rPr>
            </w:pPr>
          </w:p>
          <w:p w14:paraId="186F8EC2" w14:textId="4A4D9065" w:rsidR="00BB7043" w:rsidRPr="004870C7" w:rsidRDefault="00BB7043" w:rsidP="00466437">
            <w:pPr>
              <w:jc w:val="left"/>
              <w:rPr>
                <w:rFonts w:cs="Calibri"/>
                <w:bCs/>
                <w:iCs/>
                <w:sz w:val="18"/>
                <w:szCs w:val="18"/>
              </w:rPr>
            </w:pPr>
            <w:r w:rsidRPr="004870C7">
              <w:rPr>
                <w:rFonts w:cs="Calibri"/>
                <w:bCs/>
                <w:iCs/>
                <w:sz w:val="18"/>
                <w:szCs w:val="18"/>
              </w:rPr>
              <w:t xml:space="preserve">GHG emission projections up to 2040 developed </w:t>
            </w:r>
          </w:p>
        </w:tc>
        <w:tc>
          <w:tcPr>
            <w:tcW w:w="2160" w:type="dxa"/>
            <w:gridSpan w:val="4"/>
          </w:tcPr>
          <w:p w14:paraId="0AC473A2" w14:textId="1FAA0031" w:rsidR="00BB7043" w:rsidRPr="004870C7" w:rsidRDefault="00BB7043" w:rsidP="00466437">
            <w:pPr>
              <w:jc w:val="left"/>
              <w:rPr>
                <w:rFonts w:cs="Calibri"/>
                <w:bCs/>
                <w:iCs/>
                <w:sz w:val="18"/>
                <w:szCs w:val="18"/>
              </w:rPr>
            </w:pPr>
            <w:r w:rsidRPr="004870C7">
              <w:rPr>
                <w:rFonts w:cs="Calibri"/>
                <w:bCs/>
                <w:iCs/>
                <w:sz w:val="18"/>
                <w:szCs w:val="18"/>
              </w:rPr>
              <w:t>TBUR and revised NDC will provide GHG emission projections up to 2030.</w:t>
            </w:r>
          </w:p>
        </w:tc>
        <w:tc>
          <w:tcPr>
            <w:tcW w:w="5490" w:type="dxa"/>
            <w:gridSpan w:val="3"/>
          </w:tcPr>
          <w:p w14:paraId="3FDA98E7" w14:textId="0AFC09DD" w:rsidR="00BB7043" w:rsidRPr="004870C7" w:rsidRDefault="00BB7043" w:rsidP="00466437">
            <w:pPr>
              <w:jc w:val="left"/>
              <w:rPr>
                <w:rFonts w:cs="Calibri"/>
                <w:iCs/>
              </w:rPr>
            </w:pPr>
            <w:r w:rsidRPr="004870C7">
              <w:rPr>
                <w:rFonts w:cs="Calibri"/>
                <w:bCs/>
                <w:iCs/>
                <w:sz w:val="18"/>
                <w:szCs w:val="18"/>
              </w:rPr>
              <w:t>GHG emission projections up to 2040 developed, as part of Mitigation Chapter of the Report</w:t>
            </w:r>
          </w:p>
        </w:tc>
      </w:tr>
      <w:tr w:rsidR="00466437" w:rsidRPr="004870C7" w14:paraId="25092DF1" w14:textId="77777777" w:rsidTr="00205BC1">
        <w:trPr>
          <w:trHeight w:val="530"/>
        </w:trPr>
        <w:tc>
          <w:tcPr>
            <w:tcW w:w="3325" w:type="dxa"/>
            <w:shd w:val="pct12" w:color="auto" w:fill="auto"/>
          </w:tcPr>
          <w:p w14:paraId="1FF92A98" w14:textId="17EAB8DE"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3.2</w:t>
            </w:r>
          </w:p>
        </w:tc>
        <w:tc>
          <w:tcPr>
            <w:tcW w:w="11160" w:type="dxa"/>
            <w:gridSpan w:val="12"/>
          </w:tcPr>
          <w:p w14:paraId="2DF5F8C8" w14:textId="6153B31E" w:rsidR="00466437" w:rsidRPr="004870C7" w:rsidRDefault="00466437" w:rsidP="00466437">
            <w:pPr>
              <w:jc w:val="left"/>
              <w:rPr>
                <w:bCs/>
                <w:iCs/>
                <w:sz w:val="18"/>
                <w:szCs w:val="18"/>
              </w:rPr>
            </w:pPr>
            <w:r w:rsidRPr="004870C7">
              <w:rPr>
                <w:bCs/>
                <w:iCs/>
                <w:sz w:val="18"/>
                <w:szCs w:val="18"/>
              </w:rPr>
              <w:t>3.2.1 The GHG emission scenarios up to 2040 described and mode</w:t>
            </w:r>
            <w:r w:rsidR="007C3C10" w:rsidRPr="004870C7">
              <w:rPr>
                <w:bCs/>
                <w:iCs/>
                <w:sz w:val="18"/>
                <w:szCs w:val="18"/>
              </w:rPr>
              <w:t>l</w:t>
            </w:r>
            <w:r w:rsidRPr="004870C7">
              <w:rPr>
                <w:bCs/>
                <w:iCs/>
                <w:sz w:val="18"/>
                <w:szCs w:val="18"/>
              </w:rPr>
              <w:t>ling techniques analysis conducted</w:t>
            </w:r>
            <w:r w:rsidR="007C3C10" w:rsidRPr="004870C7">
              <w:rPr>
                <w:bCs/>
                <w:iCs/>
                <w:sz w:val="18"/>
                <w:szCs w:val="18"/>
              </w:rPr>
              <w:t>.</w:t>
            </w:r>
          </w:p>
          <w:p w14:paraId="5055CDA6" w14:textId="5B41E08B" w:rsidR="00466437" w:rsidRPr="004870C7" w:rsidRDefault="00466437" w:rsidP="00466437">
            <w:pPr>
              <w:jc w:val="left"/>
              <w:rPr>
                <w:bCs/>
                <w:iCs/>
                <w:sz w:val="18"/>
                <w:szCs w:val="18"/>
              </w:rPr>
            </w:pPr>
            <w:r w:rsidRPr="004870C7">
              <w:rPr>
                <w:bCs/>
                <w:iCs/>
                <w:sz w:val="18"/>
                <w:szCs w:val="18"/>
              </w:rPr>
              <w:t>3.2.2 The GHG emissions projections in the main emission sectors (Energy, IPPU, AFOLU and Waste) along with sectoral cost-effectiveness analysis using the most suitable GHG forecast software developed</w:t>
            </w:r>
            <w:r w:rsidR="007C3C10" w:rsidRPr="004870C7">
              <w:rPr>
                <w:bCs/>
                <w:iCs/>
                <w:sz w:val="18"/>
                <w:szCs w:val="18"/>
              </w:rPr>
              <w:t>.</w:t>
            </w:r>
          </w:p>
          <w:p w14:paraId="06BF2D9A" w14:textId="47AC5897" w:rsidR="00466437" w:rsidRPr="004870C7" w:rsidRDefault="00466437" w:rsidP="00466437">
            <w:pPr>
              <w:jc w:val="left"/>
              <w:rPr>
                <w:bCs/>
                <w:iCs/>
                <w:sz w:val="18"/>
                <w:szCs w:val="18"/>
              </w:rPr>
            </w:pPr>
            <w:r w:rsidRPr="004870C7">
              <w:rPr>
                <w:bCs/>
                <w:iCs/>
                <w:sz w:val="18"/>
                <w:szCs w:val="18"/>
              </w:rPr>
              <w:t>3.2.3 The role of women and men in mitigation policies and measures assessed and included in the report; recommendations to ensure gender mainstreaming in planning and implementation of climate change mitigation policies &amp; measures produced</w:t>
            </w:r>
            <w:r w:rsidR="007C3C10" w:rsidRPr="004870C7">
              <w:rPr>
                <w:bCs/>
                <w:iCs/>
                <w:sz w:val="18"/>
                <w:szCs w:val="18"/>
              </w:rPr>
              <w:t>.</w:t>
            </w:r>
          </w:p>
          <w:p w14:paraId="6F452DAE" w14:textId="64F47968" w:rsidR="00466437" w:rsidRPr="004870C7" w:rsidRDefault="00466437" w:rsidP="00466437">
            <w:pPr>
              <w:jc w:val="left"/>
              <w:rPr>
                <w:bCs/>
                <w:iCs/>
                <w:sz w:val="18"/>
                <w:szCs w:val="18"/>
              </w:rPr>
            </w:pPr>
            <w:r w:rsidRPr="004870C7">
              <w:rPr>
                <w:bCs/>
                <w:iCs/>
                <w:sz w:val="18"/>
                <w:szCs w:val="18"/>
              </w:rPr>
              <w:t>3.2.4 The national report containing information on NDC/mitigation actions and their effects, including associated methodologies and assumptions as well as proposal of long-term (until 2040) mitigation possibilities generated</w:t>
            </w:r>
            <w:r w:rsidR="007C3C10" w:rsidRPr="004870C7">
              <w:rPr>
                <w:bCs/>
                <w:iCs/>
                <w:sz w:val="18"/>
                <w:szCs w:val="18"/>
              </w:rPr>
              <w:t>.</w:t>
            </w:r>
          </w:p>
          <w:p w14:paraId="4BF66A04" w14:textId="36322E50" w:rsidR="00466437" w:rsidRPr="004870C7" w:rsidRDefault="00466437" w:rsidP="00466437">
            <w:pPr>
              <w:jc w:val="left"/>
              <w:rPr>
                <w:bCs/>
                <w:iCs/>
                <w:sz w:val="18"/>
                <w:szCs w:val="18"/>
              </w:rPr>
            </w:pPr>
            <w:r w:rsidRPr="004870C7">
              <w:rPr>
                <w:bCs/>
                <w:iCs/>
                <w:sz w:val="18"/>
                <w:szCs w:val="18"/>
              </w:rPr>
              <w:t>3.2.5 Roadmap for NDC3 implementation up to 2030 developed</w:t>
            </w:r>
            <w:r w:rsidR="007C3C10" w:rsidRPr="004870C7">
              <w:rPr>
                <w:bCs/>
                <w:iCs/>
                <w:sz w:val="18"/>
                <w:szCs w:val="18"/>
              </w:rPr>
              <w:t>.</w:t>
            </w:r>
          </w:p>
          <w:p w14:paraId="34E3DFB0" w14:textId="54032FC0" w:rsidR="00466437" w:rsidRPr="004870C7" w:rsidRDefault="00466437" w:rsidP="00466437">
            <w:pPr>
              <w:jc w:val="left"/>
              <w:rPr>
                <w:bCs/>
                <w:iCs/>
                <w:sz w:val="18"/>
                <w:szCs w:val="18"/>
              </w:rPr>
            </w:pPr>
            <w:r w:rsidRPr="004870C7">
              <w:rPr>
                <w:bCs/>
                <w:iCs/>
                <w:sz w:val="18"/>
                <w:szCs w:val="18"/>
              </w:rPr>
              <w:t>3.2.6 Stakeholder consultation workshops organised and outreach activities on climate change mitigation policies and measures, including gender awareness training implemented.</w:t>
            </w:r>
          </w:p>
        </w:tc>
      </w:tr>
      <w:tr w:rsidR="00205BC1" w:rsidRPr="004870C7" w14:paraId="28B0DE6A" w14:textId="671BF05C" w:rsidTr="00205BC1">
        <w:trPr>
          <w:trHeight w:val="620"/>
        </w:trPr>
        <w:tc>
          <w:tcPr>
            <w:tcW w:w="3325" w:type="dxa"/>
            <w:shd w:val="clear" w:color="auto" w:fill="E7E6E6" w:themeFill="background2"/>
          </w:tcPr>
          <w:p w14:paraId="7052308D" w14:textId="22C2D2F9"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087D0EDA" w14:textId="1C1D7E9F"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3.3. </w:t>
            </w:r>
            <w:r w:rsidRPr="00205BC1">
              <w:rPr>
                <w:rFonts w:ascii="Times New Roman" w:hAnsi="Times New Roman"/>
                <w:b/>
                <w:bCs/>
                <w:sz w:val="18"/>
                <w:szCs w:val="18"/>
              </w:rPr>
              <w:t>System for NDC tracking</w:t>
            </w:r>
          </w:p>
        </w:tc>
        <w:tc>
          <w:tcPr>
            <w:tcW w:w="3480" w:type="dxa"/>
            <w:gridSpan w:val="3"/>
            <w:shd w:val="clear" w:color="auto" w:fill="auto"/>
          </w:tcPr>
          <w:p w14:paraId="6D35B02D" w14:textId="7736CC8B" w:rsidR="00205BC1" w:rsidRPr="004870C7" w:rsidRDefault="00205BC1" w:rsidP="00466437">
            <w:pPr>
              <w:jc w:val="left"/>
              <w:rPr>
                <w:i/>
                <w:iCs/>
                <w:sz w:val="18"/>
                <w:szCs w:val="18"/>
              </w:rPr>
            </w:pPr>
            <w:r w:rsidRPr="004870C7">
              <w:rPr>
                <w:i/>
                <w:iCs/>
                <w:sz w:val="18"/>
                <w:szCs w:val="18"/>
              </w:rPr>
              <w:t>Indicator 12:</w:t>
            </w:r>
          </w:p>
          <w:p w14:paraId="40AF85E8" w14:textId="1BB6F81F" w:rsidR="00205BC1" w:rsidRPr="004870C7" w:rsidRDefault="00205BC1" w:rsidP="00466437">
            <w:pPr>
              <w:jc w:val="left"/>
              <w:rPr>
                <w:sz w:val="18"/>
                <w:szCs w:val="18"/>
              </w:rPr>
            </w:pPr>
            <w:r w:rsidRPr="004870C7">
              <w:rPr>
                <w:sz w:val="18"/>
                <w:szCs w:val="18"/>
              </w:rPr>
              <w:t>Conceptual framework for NDC tracking provided</w:t>
            </w:r>
          </w:p>
        </w:tc>
        <w:tc>
          <w:tcPr>
            <w:tcW w:w="2172" w:type="dxa"/>
            <w:gridSpan w:val="4"/>
            <w:shd w:val="clear" w:color="auto" w:fill="auto"/>
          </w:tcPr>
          <w:p w14:paraId="5F957151" w14:textId="141D5650" w:rsidR="00205BC1" w:rsidRPr="004870C7" w:rsidRDefault="00205BC1" w:rsidP="00663226">
            <w:pPr>
              <w:jc w:val="center"/>
              <w:rPr>
                <w:sz w:val="18"/>
                <w:szCs w:val="18"/>
              </w:rPr>
            </w:pPr>
            <w:r w:rsidRPr="004870C7">
              <w:rPr>
                <w:sz w:val="18"/>
                <w:szCs w:val="18"/>
              </w:rPr>
              <w:t>Not existing</w:t>
            </w:r>
          </w:p>
        </w:tc>
        <w:tc>
          <w:tcPr>
            <w:tcW w:w="5508" w:type="dxa"/>
            <w:gridSpan w:val="5"/>
            <w:shd w:val="clear" w:color="auto" w:fill="auto"/>
          </w:tcPr>
          <w:p w14:paraId="35E0E59F" w14:textId="7B116CC3" w:rsidR="00205BC1" w:rsidRPr="004870C7" w:rsidRDefault="00205BC1" w:rsidP="00466437">
            <w:pPr>
              <w:jc w:val="left"/>
              <w:rPr>
                <w:sz w:val="18"/>
                <w:szCs w:val="18"/>
              </w:rPr>
            </w:pPr>
            <w:r w:rsidRPr="004870C7">
              <w:rPr>
                <w:sz w:val="18"/>
                <w:szCs w:val="18"/>
              </w:rPr>
              <w:t>Concept for NDC tracking adopted and presented as part of the Mitigation Chapter of the Report</w:t>
            </w:r>
          </w:p>
        </w:tc>
      </w:tr>
      <w:tr w:rsidR="00466437" w:rsidRPr="004870C7" w14:paraId="4D79171E" w14:textId="77777777" w:rsidTr="00205BC1">
        <w:trPr>
          <w:trHeight w:val="620"/>
        </w:trPr>
        <w:tc>
          <w:tcPr>
            <w:tcW w:w="3325" w:type="dxa"/>
            <w:shd w:val="clear" w:color="auto" w:fill="E7E6E6" w:themeFill="background2"/>
          </w:tcPr>
          <w:p w14:paraId="6F90C185" w14:textId="3E4833EE"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3.3</w:t>
            </w:r>
          </w:p>
        </w:tc>
        <w:tc>
          <w:tcPr>
            <w:tcW w:w="11160" w:type="dxa"/>
            <w:gridSpan w:val="12"/>
            <w:shd w:val="clear" w:color="auto" w:fill="auto"/>
          </w:tcPr>
          <w:p w14:paraId="482FE44E" w14:textId="4B755DB4" w:rsidR="00466437" w:rsidRPr="004870C7" w:rsidRDefault="00466437" w:rsidP="00466437">
            <w:pPr>
              <w:jc w:val="left"/>
              <w:rPr>
                <w:sz w:val="18"/>
                <w:szCs w:val="18"/>
              </w:rPr>
            </w:pPr>
            <w:r w:rsidRPr="004870C7">
              <w:rPr>
                <w:sz w:val="18"/>
                <w:szCs w:val="18"/>
              </w:rPr>
              <w:t>3.3.1 NDC tracking in order to meet enhanced transparency related requirements under the Paris Agreement (PA) described</w:t>
            </w:r>
            <w:r w:rsidR="00D30F2B" w:rsidRPr="004870C7">
              <w:rPr>
                <w:sz w:val="18"/>
                <w:szCs w:val="18"/>
              </w:rPr>
              <w:t>.</w:t>
            </w:r>
          </w:p>
          <w:p w14:paraId="1F5CFD96" w14:textId="77777777" w:rsidR="00466437" w:rsidRPr="004870C7" w:rsidRDefault="00466437" w:rsidP="00466437">
            <w:pPr>
              <w:jc w:val="left"/>
              <w:rPr>
                <w:sz w:val="18"/>
                <w:szCs w:val="18"/>
              </w:rPr>
            </w:pPr>
          </w:p>
        </w:tc>
      </w:tr>
      <w:tr w:rsidR="00466437" w:rsidRPr="004870C7" w14:paraId="184F4AFA" w14:textId="77777777" w:rsidTr="00205BC1">
        <w:trPr>
          <w:trHeight w:val="620"/>
        </w:trPr>
        <w:tc>
          <w:tcPr>
            <w:tcW w:w="3325" w:type="dxa"/>
            <w:shd w:val="clear" w:color="auto" w:fill="E7E6E6" w:themeFill="background2"/>
          </w:tcPr>
          <w:p w14:paraId="6C344992" w14:textId="66865E56"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Project component 4 </w:t>
            </w:r>
          </w:p>
        </w:tc>
        <w:tc>
          <w:tcPr>
            <w:tcW w:w="11160" w:type="dxa"/>
            <w:gridSpan w:val="12"/>
            <w:shd w:val="clear" w:color="auto" w:fill="E7E6E6" w:themeFill="background2"/>
          </w:tcPr>
          <w:p w14:paraId="40DB48AB" w14:textId="5334F785" w:rsidR="00466437" w:rsidRPr="004870C7" w:rsidRDefault="00466437" w:rsidP="00466437">
            <w:pPr>
              <w:jc w:val="left"/>
              <w:rPr>
                <w:b/>
                <w:bCs/>
                <w:i/>
                <w:sz w:val="18"/>
                <w:szCs w:val="18"/>
                <w:highlight w:val="yellow"/>
              </w:rPr>
            </w:pPr>
            <w:r w:rsidRPr="004870C7">
              <w:rPr>
                <w:b/>
                <w:bCs/>
                <w:sz w:val="18"/>
                <w:szCs w:val="18"/>
              </w:rPr>
              <w:t xml:space="preserve">Climate </w:t>
            </w:r>
            <w:r w:rsidR="00663226" w:rsidRPr="004870C7">
              <w:rPr>
                <w:b/>
                <w:bCs/>
                <w:sz w:val="18"/>
                <w:szCs w:val="18"/>
              </w:rPr>
              <w:t>C</w:t>
            </w:r>
            <w:r w:rsidRPr="004870C7">
              <w:rPr>
                <w:b/>
                <w:bCs/>
                <w:sz w:val="18"/>
                <w:szCs w:val="18"/>
              </w:rPr>
              <w:t xml:space="preserve">hange </w:t>
            </w:r>
            <w:r w:rsidR="00663226" w:rsidRPr="004870C7">
              <w:rPr>
                <w:b/>
                <w:bCs/>
                <w:sz w:val="18"/>
                <w:szCs w:val="18"/>
              </w:rPr>
              <w:t>I</w:t>
            </w:r>
            <w:r w:rsidRPr="004870C7">
              <w:rPr>
                <w:b/>
                <w:bCs/>
                <w:sz w:val="18"/>
                <w:szCs w:val="18"/>
              </w:rPr>
              <w:t xml:space="preserve">mpacts and </w:t>
            </w:r>
            <w:r w:rsidR="00663226" w:rsidRPr="004870C7">
              <w:rPr>
                <w:b/>
                <w:bCs/>
                <w:sz w:val="18"/>
                <w:szCs w:val="18"/>
              </w:rPr>
              <w:t>A</w:t>
            </w:r>
            <w:r w:rsidRPr="004870C7">
              <w:rPr>
                <w:b/>
                <w:bCs/>
                <w:sz w:val="18"/>
                <w:szCs w:val="18"/>
              </w:rPr>
              <w:t>daptation</w:t>
            </w:r>
            <w:r w:rsidRPr="004870C7">
              <w:rPr>
                <w:b/>
                <w:bCs/>
                <w:i/>
                <w:sz w:val="18"/>
                <w:szCs w:val="18"/>
                <w:highlight w:val="yellow"/>
              </w:rPr>
              <w:t xml:space="preserve"> </w:t>
            </w:r>
          </w:p>
          <w:p w14:paraId="25D5DB6A" w14:textId="377F9C44" w:rsidR="00466437" w:rsidRPr="004870C7" w:rsidRDefault="00466437" w:rsidP="00466437">
            <w:pPr>
              <w:jc w:val="left"/>
              <w:rPr>
                <w:bCs/>
                <w:i/>
                <w:sz w:val="18"/>
                <w:szCs w:val="18"/>
                <w:highlight w:val="yellow"/>
              </w:rPr>
            </w:pPr>
          </w:p>
        </w:tc>
      </w:tr>
      <w:tr w:rsidR="00205BC1" w:rsidRPr="004870C7" w14:paraId="253B228F" w14:textId="77777777" w:rsidTr="00205BC1">
        <w:trPr>
          <w:trHeight w:val="440"/>
        </w:trPr>
        <w:tc>
          <w:tcPr>
            <w:tcW w:w="3325" w:type="dxa"/>
            <w:shd w:val="pct12" w:color="auto" w:fill="auto"/>
          </w:tcPr>
          <w:p w14:paraId="34FC07A7" w14:textId="72FD10D8"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51EFF1CC" w14:textId="38D004F9"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4.1. Climate scenarios, socio-economic scenarios</w:t>
            </w:r>
            <w:r>
              <w:rPr>
                <w:rFonts w:ascii="Times New Roman" w:hAnsi="Times New Roman"/>
                <w:b/>
                <w:bCs/>
                <w:sz w:val="18"/>
                <w:szCs w:val="18"/>
              </w:rPr>
              <w:t xml:space="preserve"> </w:t>
            </w:r>
            <w:r w:rsidRPr="004870C7">
              <w:rPr>
                <w:rFonts w:ascii="Times New Roman" w:hAnsi="Times New Roman"/>
                <w:b/>
                <w:bCs/>
                <w:sz w:val="18"/>
                <w:szCs w:val="18"/>
              </w:rPr>
              <w:t>climate change</w:t>
            </w:r>
            <w:r>
              <w:rPr>
                <w:rFonts w:ascii="Times New Roman" w:hAnsi="Times New Roman"/>
                <w:b/>
                <w:bCs/>
                <w:sz w:val="18"/>
                <w:szCs w:val="18"/>
              </w:rPr>
              <w:t xml:space="preserve"> </w:t>
            </w:r>
            <w:r w:rsidRPr="004870C7">
              <w:rPr>
                <w:rFonts w:ascii="Times New Roman" w:hAnsi="Times New Roman"/>
                <w:b/>
                <w:bCs/>
                <w:sz w:val="18"/>
                <w:szCs w:val="18"/>
              </w:rPr>
              <w:t>vulnerability</w:t>
            </w:r>
          </w:p>
          <w:p w14:paraId="29A5ABC6" w14:textId="1FE565A1"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assessment for</w:t>
            </w:r>
            <w:r>
              <w:rPr>
                <w:rFonts w:ascii="Times New Roman" w:hAnsi="Times New Roman"/>
                <w:b/>
                <w:bCs/>
                <w:sz w:val="18"/>
                <w:szCs w:val="18"/>
              </w:rPr>
              <w:t xml:space="preserve"> </w:t>
            </w:r>
            <w:r w:rsidRPr="004870C7">
              <w:rPr>
                <w:rFonts w:ascii="Times New Roman" w:hAnsi="Times New Roman"/>
                <w:b/>
                <w:bCs/>
                <w:sz w:val="18"/>
                <w:szCs w:val="18"/>
              </w:rPr>
              <w:t>priority sectors</w:t>
            </w:r>
            <w:r>
              <w:rPr>
                <w:rFonts w:ascii="Times New Roman" w:hAnsi="Times New Roman"/>
                <w:b/>
                <w:bCs/>
                <w:sz w:val="18"/>
                <w:szCs w:val="18"/>
              </w:rPr>
              <w:t xml:space="preserve"> </w:t>
            </w:r>
            <w:r w:rsidRPr="004870C7">
              <w:rPr>
                <w:rFonts w:ascii="Times New Roman" w:hAnsi="Times New Roman"/>
                <w:b/>
                <w:bCs/>
                <w:sz w:val="18"/>
                <w:szCs w:val="18"/>
              </w:rPr>
              <w:t>developed</w:t>
            </w:r>
            <w:r>
              <w:rPr>
                <w:rFonts w:ascii="Times New Roman" w:hAnsi="Times New Roman"/>
                <w:b/>
                <w:bCs/>
                <w:sz w:val="18"/>
                <w:szCs w:val="18"/>
              </w:rPr>
              <w:t xml:space="preserve"> a</w:t>
            </w:r>
            <w:r w:rsidRPr="004870C7">
              <w:rPr>
                <w:rFonts w:ascii="Times New Roman" w:hAnsi="Times New Roman"/>
                <w:b/>
                <w:bCs/>
                <w:sz w:val="18"/>
                <w:szCs w:val="18"/>
              </w:rPr>
              <w:t>nd plans and</w:t>
            </w:r>
            <w:r>
              <w:rPr>
                <w:rFonts w:ascii="Times New Roman" w:hAnsi="Times New Roman"/>
                <w:b/>
                <w:bCs/>
                <w:sz w:val="18"/>
                <w:szCs w:val="18"/>
              </w:rPr>
              <w:t xml:space="preserve"> </w:t>
            </w:r>
            <w:r w:rsidRPr="004870C7">
              <w:rPr>
                <w:rFonts w:ascii="Times New Roman" w:hAnsi="Times New Roman"/>
                <w:b/>
                <w:bCs/>
                <w:sz w:val="18"/>
                <w:szCs w:val="18"/>
              </w:rPr>
              <w:t>programmes</w:t>
            </w:r>
          </w:p>
          <w:p w14:paraId="5EC1615A" w14:textId="352F3440"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proposing measures</w:t>
            </w:r>
            <w:r>
              <w:rPr>
                <w:rFonts w:ascii="Times New Roman" w:hAnsi="Times New Roman"/>
                <w:b/>
                <w:bCs/>
                <w:sz w:val="18"/>
                <w:szCs w:val="18"/>
              </w:rPr>
              <w:t xml:space="preserve"> </w:t>
            </w:r>
            <w:r w:rsidRPr="004870C7">
              <w:rPr>
                <w:rFonts w:ascii="Times New Roman" w:hAnsi="Times New Roman"/>
                <w:b/>
                <w:bCs/>
                <w:sz w:val="18"/>
                <w:szCs w:val="18"/>
              </w:rPr>
              <w:t>to facilitate</w:t>
            </w:r>
          </w:p>
          <w:p w14:paraId="7874AB52" w14:textId="20BDB8F1"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adaptation prepared</w:t>
            </w:r>
          </w:p>
        </w:tc>
        <w:tc>
          <w:tcPr>
            <w:tcW w:w="3510" w:type="dxa"/>
            <w:gridSpan w:val="5"/>
          </w:tcPr>
          <w:p w14:paraId="4C54B868" w14:textId="7189196E" w:rsidR="00205BC1" w:rsidRPr="004870C7" w:rsidRDefault="00205BC1" w:rsidP="00466437">
            <w:pPr>
              <w:jc w:val="left"/>
              <w:rPr>
                <w:rFonts w:asciiTheme="majorHAnsi" w:hAnsiTheme="majorHAnsi" w:cstheme="majorHAnsi"/>
                <w:bCs/>
                <w:i/>
                <w:sz w:val="18"/>
                <w:szCs w:val="18"/>
              </w:rPr>
            </w:pPr>
            <w:r w:rsidRPr="004870C7">
              <w:rPr>
                <w:rFonts w:asciiTheme="majorHAnsi" w:hAnsiTheme="majorHAnsi" w:cstheme="majorHAnsi"/>
                <w:bCs/>
                <w:i/>
                <w:sz w:val="18"/>
                <w:szCs w:val="18"/>
              </w:rPr>
              <w:t>Indicator 13: project specific</w:t>
            </w:r>
          </w:p>
          <w:p w14:paraId="2EDD6C84" w14:textId="26C30A64" w:rsidR="00205BC1" w:rsidRPr="004870C7" w:rsidRDefault="00205BC1" w:rsidP="00466437">
            <w:pPr>
              <w:jc w:val="left"/>
              <w:rPr>
                <w:rFonts w:asciiTheme="majorHAnsi" w:hAnsiTheme="majorHAnsi" w:cstheme="majorHAnsi"/>
                <w:bCs/>
                <w:iCs/>
                <w:sz w:val="18"/>
                <w:szCs w:val="18"/>
              </w:rPr>
            </w:pPr>
            <w:r w:rsidRPr="004870C7">
              <w:rPr>
                <w:rFonts w:asciiTheme="majorHAnsi" w:hAnsiTheme="majorHAnsi" w:cstheme="majorHAnsi"/>
                <w:bCs/>
                <w:iCs/>
                <w:sz w:val="18"/>
                <w:szCs w:val="18"/>
              </w:rPr>
              <w:t xml:space="preserve">Adaptation Chapter developed including climate scenarios </w:t>
            </w:r>
          </w:p>
        </w:tc>
        <w:tc>
          <w:tcPr>
            <w:tcW w:w="2160" w:type="dxa"/>
            <w:gridSpan w:val="4"/>
          </w:tcPr>
          <w:p w14:paraId="7F98C403" w14:textId="2561C238" w:rsidR="00205BC1" w:rsidRPr="004870C7" w:rsidRDefault="00205BC1" w:rsidP="00466437">
            <w:pPr>
              <w:jc w:val="left"/>
              <w:rPr>
                <w:rFonts w:asciiTheme="majorHAnsi" w:hAnsiTheme="majorHAnsi" w:cstheme="majorHAnsi"/>
                <w:bCs/>
                <w:iCs/>
                <w:sz w:val="18"/>
                <w:szCs w:val="18"/>
              </w:rPr>
            </w:pPr>
            <w:r w:rsidRPr="004870C7">
              <w:rPr>
                <w:rFonts w:asciiTheme="majorHAnsi" w:hAnsiTheme="majorHAnsi" w:cstheme="majorHAnsi"/>
                <w:bCs/>
                <w:iCs/>
                <w:sz w:val="18"/>
                <w:szCs w:val="18"/>
              </w:rPr>
              <w:t>Build on the adaptation studies developed within TNC, as well as NAP</w:t>
            </w:r>
          </w:p>
        </w:tc>
        <w:tc>
          <w:tcPr>
            <w:tcW w:w="5490" w:type="dxa"/>
            <w:gridSpan w:val="3"/>
          </w:tcPr>
          <w:p w14:paraId="23704606" w14:textId="1748AFF3" w:rsidR="00205BC1" w:rsidRPr="004870C7" w:rsidRDefault="00205BC1" w:rsidP="00466437">
            <w:pPr>
              <w:jc w:val="left"/>
              <w:rPr>
                <w:rFonts w:asciiTheme="majorHAnsi" w:hAnsiTheme="majorHAnsi" w:cstheme="majorHAnsi"/>
                <w:iCs/>
                <w:sz w:val="18"/>
                <w:szCs w:val="18"/>
              </w:rPr>
            </w:pPr>
            <w:r w:rsidRPr="004870C7">
              <w:rPr>
                <w:rFonts w:asciiTheme="majorHAnsi" w:hAnsiTheme="majorHAnsi" w:cstheme="majorHAnsi"/>
                <w:iCs/>
                <w:sz w:val="18"/>
                <w:szCs w:val="18"/>
              </w:rPr>
              <w:t>Climate scenarios developed and</w:t>
            </w:r>
            <w:r w:rsidR="00E43B59">
              <w:rPr>
                <w:rFonts w:asciiTheme="majorHAnsi" w:hAnsiTheme="majorHAnsi" w:cstheme="majorHAnsi"/>
                <w:iCs/>
                <w:sz w:val="18"/>
                <w:szCs w:val="18"/>
              </w:rPr>
              <w:t xml:space="preserve"> updated information on adaptation measures</w:t>
            </w:r>
            <w:r w:rsidRPr="004870C7">
              <w:rPr>
                <w:rFonts w:asciiTheme="majorHAnsi" w:hAnsiTheme="majorHAnsi" w:cstheme="majorHAnsi"/>
                <w:iCs/>
                <w:sz w:val="18"/>
                <w:szCs w:val="18"/>
              </w:rPr>
              <w:t xml:space="preserve"> presented as part of the Adaptation Chapter of the Report</w:t>
            </w:r>
          </w:p>
        </w:tc>
      </w:tr>
      <w:tr w:rsidR="00466437" w:rsidRPr="004870C7" w14:paraId="39323F1E" w14:textId="77777777" w:rsidTr="00205BC1">
        <w:trPr>
          <w:trHeight w:val="683"/>
        </w:trPr>
        <w:tc>
          <w:tcPr>
            <w:tcW w:w="3325" w:type="dxa"/>
            <w:shd w:val="pct12" w:color="auto" w:fill="auto"/>
          </w:tcPr>
          <w:p w14:paraId="4C81CF98" w14:textId="6EF44EDE"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4.1</w:t>
            </w:r>
          </w:p>
          <w:p w14:paraId="7AACF95C" w14:textId="45399123" w:rsidR="00466437" w:rsidRPr="004870C7" w:rsidRDefault="00466437" w:rsidP="00466437">
            <w:pPr>
              <w:jc w:val="left"/>
              <w:rPr>
                <w:rFonts w:ascii="Times New Roman" w:hAnsi="Times New Roman"/>
                <w:b/>
                <w:bCs/>
                <w:sz w:val="18"/>
                <w:szCs w:val="18"/>
              </w:rPr>
            </w:pPr>
          </w:p>
        </w:tc>
        <w:tc>
          <w:tcPr>
            <w:tcW w:w="11160" w:type="dxa"/>
            <w:gridSpan w:val="12"/>
          </w:tcPr>
          <w:p w14:paraId="2A5A6893" w14:textId="3DAFDFCF" w:rsidR="00466437" w:rsidRPr="004870C7" w:rsidRDefault="00466437" w:rsidP="00466437">
            <w:pPr>
              <w:jc w:val="left"/>
              <w:rPr>
                <w:bCs/>
                <w:iCs/>
                <w:sz w:val="18"/>
                <w:szCs w:val="18"/>
              </w:rPr>
            </w:pPr>
            <w:r w:rsidRPr="004870C7">
              <w:rPr>
                <w:bCs/>
                <w:iCs/>
                <w:sz w:val="18"/>
                <w:szCs w:val="18"/>
              </w:rPr>
              <w:t>4.1.1 Climate change risks and impacts on socio-economic development identified, and risk reduction opportunities described</w:t>
            </w:r>
            <w:r w:rsidR="00663226" w:rsidRPr="004870C7">
              <w:rPr>
                <w:bCs/>
                <w:iCs/>
                <w:sz w:val="18"/>
                <w:szCs w:val="18"/>
              </w:rPr>
              <w:t>.</w:t>
            </w:r>
          </w:p>
          <w:p w14:paraId="696AAA83" w14:textId="0B3AAB9B" w:rsidR="00466437" w:rsidRPr="004870C7" w:rsidRDefault="00466437" w:rsidP="00466437">
            <w:pPr>
              <w:jc w:val="left"/>
              <w:rPr>
                <w:bCs/>
                <w:iCs/>
                <w:sz w:val="18"/>
                <w:szCs w:val="18"/>
              </w:rPr>
            </w:pPr>
            <w:r w:rsidRPr="004870C7">
              <w:rPr>
                <w:bCs/>
                <w:iCs/>
                <w:sz w:val="18"/>
                <w:szCs w:val="18"/>
              </w:rPr>
              <w:t>4.1.2 Climate change scenarios using appropriate climate models revised</w:t>
            </w:r>
            <w:r w:rsidR="00663226" w:rsidRPr="004870C7">
              <w:rPr>
                <w:bCs/>
                <w:iCs/>
                <w:sz w:val="18"/>
                <w:szCs w:val="18"/>
              </w:rPr>
              <w:t>.</w:t>
            </w:r>
          </w:p>
          <w:p w14:paraId="3C1C5EFF" w14:textId="1ABF1C84" w:rsidR="00466437" w:rsidRPr="004870C7" w:rsidRDefault="00466437" w:rsidP="00466437">
            <w:pPr>
              <w:jc w:val="left"/>
              <w:rPr>
                <w:bCs/>
                <w:iCs/>
                <w:sz w:val="18"/>
                <w:szCs w:val="18"/>
              </w:rPr>
            </w:pPr>
            <w:r w:rsidRPr="004870C7">
              <w:rPr>
                <w:bCs/>
                <w:iCs/>
                <w:sz w:val="18"/>
                <w:szCs w:val="18"/>
              </w:rPr>
              <w:t>4.1.3 Proposal of relevant adaptation measures in the sectors not covered by NAP, with particular attention to the sectors not previously covered such as infrastructure, settlement/housing, rural areas, mountains, food security and hydro-electricity and identification of potential impacts such as those due to heat waves, water resources scarcity, flooding, forest fires, among others conducted</w:t>
            </w:r>
            <w:r w:rsidR="00663226" w:rsidRPr="004870C7">
              <w:rPr>
                <w:bCs/>
                <w:iCs/>
                <w:sz w:val="18"/>
                <w:szCs w:val="18"/>
              </w:rPr>
              <w:t>.</w:t>
            </w:r>
          </w:p>
          <w:p w14:paraId="27753CB2" w14:textId="4848E611" w:rsidR="00466437" w:rsidRPr="004870C7" w:rsidRDefault="00466437" w:rsidP="00466437">
            <w:pPr>
              <w:jc w:val="left"/>
              <w:rPr>
                <w:bCs/>
                <w:iCs/>
                <w:sz w:val="18"/>
                <w:szCs w:val="18"/>
              </w:rPr>
            </w:pPr>
            <w:r w:rsidRPr="004870C7">
              <w:rPr>
                <w:bCs/>
                <w:iCs/>
                <w:sz w:val="18"/>
                <w:szCs w:val="18"/>
              </w:rPr>
              <w:t>4.1.4 Updated adaptation measures along with risk assessment for the most vulnerable sectors, incl. cost-benefit analysis, loss and damage issues, synergy between mitigation and adaptation and plan for the effective implementation of measures to adapt to climate change developed</w:t>
            </w:r>
            <w:r w:rsidR="00663226" w:rsidRPr="004870C7">
              <w:rPr>
                <w:bCs/>
                <w:iCs/>
                <w:sz w:val="18"/>
                <w:szCs w:val="18"/>
              </w:rPr>
              <w:t>.</w:t>
            </w:r>
          </w:p>
          <w:p w14:paraId="57A64D42" w14:textId="65BFF007" w:rsidR="00466437" w:rsidRPr="004870C7" w:rsidRDefault="00466437" w:rsidP="00466437">
            <w:pPr>
              <w:jc w:val="left"/>
              <w:rPr>
                <w:bCs/>
                <w:iCs/>
                <w:sz w:val="18"/>
                <w:szCs w:val="18"/>
              </w:rPr>
            </w:pPr>
            <w:r w:rsidRPr="004870C7">
              <w:rPr>
                <w:bCs/>
                <w:iCs/>
                <w:sz w:val="18"/>
                <w:szCs w:val="18"/>
              </w:rPr>
              <w:lastRenderedPageBreak/>
              <w:t>4.1.5 Roadmap for NDC3 implementation up to 2030, with elaborated adaptation component prepared</w:t>
            </w:r>
            <w:r w:rsidR="00663226" w:rsidRPr="004870C7">
              <w:rPr>
                <w:bCs/>
                <w:iCs/>
                <w:sz w:val="18"/>
                <w:szCs w:val="18"/>
              </w:rPr>
              <w:t>.</w:t>
            </w:r>
          </w:p>
          <w:p w14:paraId="21EEB997" w14:textId="2B70EE43" w:rsidR="00466437" w:rsidRPr="004870C7" w:rsidRDefault="00466437" w:rsidP="00466437">
            <w:pPr>
              <w:jc w:val="left"/>
              <w:rPr>
                <w:bCs/>
                <w:iCs/>
                <w:sz w:val="18"/>
                <w:szCs w:val="18"/>
              </w:rPr>
            </w:pPr>
            <w:r w:rsidRPr="004870C7">
              <w:rPr>
                <w:bCs/>
                <w:iCs/>
                <w:sz w:val="18"/>
                <w:szCs w:val="18"/>
              </w:rPr>
              <w:t>4.1.6 Public engagement to understand the impact of climate change on public health and socio-economic conditions and to find the most equitable adaptation measures for different vulnerable groups</w:t>
            </w:r>
            <w:r w:rsidR="00663226" w:rsidRPr="004870C7">
              <w:rPr>
                <w:bCs/>
                <w:iCs/>
                <w:sz w:val="18"/>
                <w:szCs w:val="18"/>
              </w:rPr>
              <w:t>.</w:t>
            </w:r>
          </w:p>
          <w:p w14:paraId="58E736E8" w14:textId="246122E9" w:rsidR="00466437" w:rsidRPr="004870C7" w:rsidRDefault="00466437" w:rsidP="00466437">
            <w:pPr>
              <w:jc w:val="left"/>
              <w:rPr>
                <w:bCs/>
                <w:iCs/>
                <w:sz w:val="18"/>
                <w:szCs w:val="18"/>
                <w:highlight w:val="yellow"/>
              </w:rPr>
            </w:pPr>
          </w:p>
        </w:tc>
      </w:tr>
      <w:tr w:rsidR="00205BC1" w:rsidRPr="004870C7" w14:paraId="7E6387D4" w14:textId="77777777" w:rsidTr="00205BC1">
        <w:trPr>
          <w:trHeight w:val="584"/>
        </w:trPr>
        <w:tc>
          <w:tcPr>
            <w:tcW w:w="3325" w:type="dxa"/>
            <w:shd w:val="pct12" w:color="auto" w:fill="auto"/>
          </w:tcPr>
          <w:p w14:paraId="57AC3DC2" w14:textId="2D828FC3"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lastRenderedPageBreak/>
              <w:t xml:space="preserve">Outcome </w:t>
            </w:r>
          </w:p>
          <w:p w14:paraId="3E5FE920" w14:textId="77777777"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4.2. Gender dimension</w:t>
            </w:r>
          </w:p>
          <w:p w14:paraId="45F5E073" w14:textId="77777777" w:rsidR="00205BC1" w:rsidRPr="004870C7" w:rsidRDefault="00205BC1" w:rsidP="00466437">
            <w:pPr>
              <w:jc w:val="left"/>
              <w:rPr>
                <w:rFonts w:ascii="Times New Roman" w:hAnsi="Times New Roman"/>
                <w:b/>
                <w:bCs/>
                <w:sz w:val="18"/>
                <w:szCs w:val="18"/>
              </w:rPr>
            </w:pPr>
          </w:p>
          <w:p w14:paraId="1D450AD5" w14:textId="77777777" w:rsidR="00205BC1" w:rsidRPr="004870C7" w:rsidRDefault="00205BC1" w:rsidP="00466437">
            <w:pPr>
              <w:rPr>
                <w:rFonts w:ascii="Times New Roman" w:hAnsi="Times New Roman"/>
                <w:sz w:val="18"/>
                <w:szCs w:val="18"/>
              </w:rPr>
            </w:pPr>
          </w:p>
          <w:p w14:paraId="7CBD48CB" w14:textId="77777777" w:rsidR="00205BC1" w:rsidRPr="004870C7" w:rsidRDefault="00205BC1" w:rsidP="00466437">
            <w:pPr>
              <w:rPr>
                <w:rFonts w:ascii="Times New Roman" w:hAnsi="Times New Roman"/>
                <w:sz w:val="18"/>
                <w:szCs w:val="18"/>
              </w:rPr>
            </w:pPr>
          </w:p>
        </w:tc>
        <w:tc>
          <w:tcPr>
            <w:tcW w:w="3510" w:type="dxa"/>
            <w:gridSpan w:val="5"/>
          </w:tcPr>
          <w:p w14:paraId="5929B345" w14:textId="554E2C67" w:rsidR="00205BC1" w:rsidRPr="004870C7" w:rsidRDefault="00205BC1" w:rsidP="00466437">
            <w:pPr>
              <w:jc w:val="left"/>
              <w:rPr>
                <w:rFonts w:cs="Calibri"/>
                <w:bCs/>
                <w:i/>
                <w:sz w:val="18"/>
                <w:szCs w:val="18"/>
              </w:rPr>
            </w:pPr>
            <w:r w:rsidRPr="004870C7">
              <w:rPr>
                <w:rFonts w:cs="Calibri"/>
                <w:bCs/>
                <w:i/>
                <w:sz w:val="18"/>
                <w:szCs w:val="18"/>
              </w:rPr>
              <w:t>Indicator 14: project specific</w:t>
            </w:r>
          </w:p>
          <w:p w14:paraId="049E9587" w14:textId="67E570D9" w:rsidR="00205BC1" w:rsidRPr="004870C7" w:rsidRDefault="00205BC1" w:rsidP="00466437">
            <w:pPr>
              <w:jc w:val="left"/>
              <w:rPr>
                <w:rFonts w:cs="Calibri"/>
                <w:bCs/>
                <w:iCs/>
                <w:sz w:val="18"/>
                <w:szCs w:val="18"/>
              </w:rPr>
            </w:pPr>
            <w:r w:rsidRPr="004870C7">
              <w:rPr>
                <w:rFonts w:cs="Calibri"/>
                <w:bCs/>
                <w:iCs/>
                <w:sz w:val="18"/>
                <w:szCs w:val="18"/>
              </w:rPr>
              <w:t xml:space="preserve">Gender mainstreamed into the adaptation climate actions </w:t>
            </w:r>
          </w:p>
        </w:tc>
        <w:tc>
          <w:tcPr>
            <w:tcW w:w="2160" w:type="dxa"/>
            <w:gridSpan w:val="4"/>
          </w:tcPr>
          <w:p w14:paraId="52DB003C" w14:textId="769799F0" w:rsidR="00205BC1" w:rsidRPr="004870C7" w:rsidRDefault="00205BC1" w:rsidP="00466437">
            <w:pPr>
              <w:jc w:val="left"/>
              <w:rPr>
                <w:rFonts w:cs="Calibri"/>
                <w:bCs/>
                <w:iCs/>
                <w:sz w:val="18"/>
                <w:szCs w:val="18"/>
              </w:rPr>
            </w:pPr>
            <w:r w:rsidRPr="004870C7">
              <w:rPr>
                <w:rFonts w:cs="Calibri"/>
                <w:bCs/>
                <w:iCs/>
                <w:sz w:val="18"/>
                <w:szCs w:val="18"/>
              </w:rPr>
              <w:t xml:space="preserve"> </w:t>
            </w:r>
            <w:r w:rsidR="00622073">
              <w:rPr>
                <w:rFonts w:cs="Calibri"/>
                <w:bCs/>
                <w:iCs/>
                <w:sz w:val="18"/>
                <w:szCs w:val="18"/>
              </w:rPr>
              <w:t>G</w:t>
            </w:r>
            <w:r w:rsidRPr="004870C7">
              <w:rPr>
                <w:rFonts w:cs="Calibri"/>
                <w:bCs/>
                <w:iCs/>
                <w:sz w:val="18"/>
                <w:szCs w:val="18"/>
              </w:rPr>
              <w:t>ender analysis developed within revised NDC and TNC</w:t>
            </w:r>
          </w:p>
        </w:tc>
        <w:tc>
          <w:tcPr>
            <w:tcW w:w="5490" w:type="dxa"/>
            <w:gridSpan w:val="3"/>
          </w:tcPr>
          <w:p w14:paraId="6B678B9A" w14:textId="13732207" w:rsidR="00205BC1" w:rsidRPr="004870C7" w:rsidRDefault="00205BC1" w:rsidP="00466437">
            <w:pPr>
              <w:jc w:val="left"/>
              <w:rPr>
                <w:rFonts w:cs="Calibri"/>
                <w:iCs/>
                <w:sz w:val="18"/>
                <w:szCs w:val="18"/>
              </w:rPr>
            </w:pPr>
            <w:r w:rsidRPr="004870C7">
              <w:rPr>
                <w:rFonts w:cs="Calibri"/>
                <w:iCs/>
                <w:sz w:val="18"/>
                <w:szCs w:val="18"/>
              </w:rPr>
              <w:t>Gender analysis of the adaptation measures developed, and presented within the Adaptation Chapter of the Report</w:t>
            </w:r>
          </w:p>
        </w:tc>
      </w:tr>
      <w:tr w:rsidR="00466437" w:rsidRPr="004870C7" w14:paraId="3BEE3942" w14:textId="77777777" w:rsidTr="00205BC1">
        <w:trPr>
          <w:trHeight w:val="350"/>
        </w:trPr>
        <w:tc>
          <w:tcPr>
            <w:tcW w:w="3325" w:type="dxa"/>
            <w:shd w:val="pct12" w:color="auto" w:fill="auto"/>
          </w:tcPr>
          <w:p w14:paraId="1DAB3D1E" w14:textId="04D20216"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4.2</w:t>
            </w:r>
          </w:p>
        </w:tc>
        <w:tc>
          <w:tcPr>
            <w:tcW w:w="11160" w:type="dxa"/>
            <w:gridSpan w:val="12"/>
          </w:tcPr>
          <w:p w14:paraId="0B0B0F7C" w14:textId="6E08D4E9" w:rsidR="00466437" w:rsidRPr="004870C7" w:rsidRDefault="00466437" w:rsidP="00466437">
            <w:pPr>
              <w:jc w:val="left"/>
              <w:rPr>
                <w:bCs/>
                <w:iCs/>
                <w:sz w:val="18"/>
                <w:szCs w:val="18"/>
              </w:rPr>
            </w:pPr>
            <w:r w:rsidRPr="004870C7">
              <w:rPr>
                <w:bCs/>
                <w:iCs/>
                <w:sz w:val="18"/>
                <w:szCs w:val="18"/>
              </w:rPr>
              <w:t>4.2.1 Study analysing the different gender roles in adaptation interventions, policy formulation and decision-making process prepared</w:t>
            </w:r>
            <w:r w:rsidR="00663226" w:rsidRPr="004870C7">
              <w:rPr>
                <w:bCs/>
                <w:iCs/>
                <w:sz w:val="18"/>
                <w:szCs w:val="18"/>
              </w:rPr>
              <w:t>.</w:t>
            </w:r>
          </w:p>
          <w:p w14:paraId="425DCB2F" w14:textId="73A387D7" w:rsidR="00466437" w:rsidRPr="004870C7" w:rsidRDefault="00466437" w:rsidP="00466437">
            <w:pPr>
              <w:jc w:val="left"/>
              <w:rPr>
                <w:bCs/>
                <w:iCs/>
                <w:sz w:val="18"/>
                <w:szCs w:val="18"/>
              </w:rPr>
            </w:pPr>
            <w:r w:rsidRPr="004870C7">
              <w:rPr>
                <w:bCs/>
                <w:iCs/>
                <w:sz w:val="18"/>
                <w:szCs w:val="18"/>
              </w:rPr>
              <w:t>4.2.2 The role of women and men in adaptation measures assessed; recommendations to ensure gender mainstreaming in planning and implementation of climate change adaptation measures presented</w:t>
            </w:r>
            <w:r w:rsidR="00663226" w:rsidRPr="004870C7">
              <w:rPr>
                <w:bCs/>
                <w:iCs/>
                <w:sz w:val="18"/>
                <w:szCs w:val="18"/>
              </w:rPr>
              <w:t>.</w:t>
            </w:r>
          </w:p>
          <w:p w14:paraId="23489A53" w14:textId="2DC6AC60" w:rsidR="00466437" w:rsidRPr="004870C7" w:rsidRDefault="00466437" w:rsidP="00466437">
            <w:pPr>
              <w:jc w:val="left"/>
              <w:rPr>
                <w:bCs/>
                <w:iCs/>
                <w:sz w:val="18"/>
                <w:szCs w:val="18"/>
              </w:rPr>
            </w:pPr>
            <w:r w:rsidRPr="004870C7">
              <w:rPr>
                <w:bCs/>
                <w:iCs/>
                <w:sz w:val="18"/>
                <w:szCs w:val="18"/>
              </w:rPr>
              <w:t>4.2.3 Vulnerability assessment and recommendations for greater resilience of women and men to climate changes and natural disasters caused by climate change developed</w:t>
            </w:r>
            <w:r w:rsidR="00663226" w:rsidRPr="004870C7">
              <w:rPr>
                <w:bCs/>
                <w:iCs/>
                <w:sz w:val="18"/>
                <w:szCs w:val="18"/>
              </w:rPr>
              <w:t>.</w:t>
            </w:r>
          </w:p>
          <w:p w14:paraId="4D5473E0" w14:textId="33552A3C" w:rsidR="00466437" w:rsidRPr="004870C7" w:rsidRDefault="00466437" w:rsidP="00466437">
            <w:pPr>
              <w:jc w:val="left"/>
              <w:rPr>
                <w:bCs/>
                <w:iCs/>
                <w:sz w:val="18"/>
                <w:szCs w:val="18"/>
                <w:highlight w:val="yellow"/>
              </w:rPr>
            </w:pPr>
            <w:r w:rsidRPr="004870C7">
              <w:rPr>
                <w:bCs/>
                <w:iCs/>
                <w:sz w:val="18"/>
                <w:szCs w:val="18"/>
              </w:rPr>
              <w:t>4.2.4 Consultations and workshops for stakeholders to increase their involvement and awareness (including gender awareness training) conducted.</w:t>
            </w:r>
          </w:p>
        </w:tc>
      </w:tr>
      <w:tr w:rsidR="00466437" w:rsidRPr="004870C7" w14:paraId="7BB1C2EA" w14:textId="77777777" w:rsidTr="00205BC1">
        <w:trPr>
          <w:trHeight w:val="350"/>
        </w:trPr>
        <w:tc>
          <w:tcPr>
            <w:tcW w:w="3325" w:type="dxa"/>
            <w:shd w:val="pct12" w:color="auto" w:fill="auto"/>
          </w:tcPr>
          <w:p w14:paraId="20708032" w14:textId="61374498"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Project component 5 </w:t>
            </w:r>
          </w:p>
        </w:tc>
        <w:tc>
          <w:tcPr>
            <w:tcW w:w="11160" w:type="dxa"/>
            <w:gridSpan w:val="12"/>
          </w:tcPr>
          <w:p w14:paraId="16F2CD11" w14:textId="4C714673" w:rsidR="00466437" w:rsidRPr="004870C7" w:rsidRDefault="00466437" w:rsidP="00466437">
            <w:pPr>
              <w:jc w:val="left"/>
              <w:rPr>
                <w:b/>
                <w:iCs/>
                <w:sz w:val="18"/>
                <w:szCs w:val="18"/>
              </w:rPr>
            </w:pPr>
            <w:r w:rsidRPr="004870C7">
              <w:rPr>
                <w:b/>
                <w:iCs/>
                <w:sz w:val="18"/>
                <w:szCs w:val="18"/>
              </w:rPr>
              <w:t xml:space="preserve">Compilation, publication and submission of the </w:t>
            </w:r>
            <w:r w:rsidR="00663226" w:rsidRPr="004870C7">
              <w:rPr>
                <w:b/>
                <w:iCs/>
                <w:sz w:val="18"/>
                <w:szCs w:val="18"/>
              </w:rPr>
              <w:t>4</w:t>
            </w:r>
            <w:r w:rsidRPr="004870C7">
              <w:rPr>
                <w:b/>
                <w:iCs/>
                <w:sz w:val="18"/>
                <w:szCs w:val="18"/>
              </w:rPr>
              <w:t>NC/</w:t>
            </w:r>
            <w:r w:rsidR="00663226" w:rsidRPr="004870C7">
              <w:rPr>
                <w:b/>
                <w:iCs/>
                <w:sz w:val="18"/>
                <w:szCs w:val="18"/>
              </w:rPr>
              <w:t>1</w:t>
            </w:r>
            <w:r w:rsidRPr="004870C7">
              <w:rPr>
                <w:b/>
                <w:iCs/>
                <w:sz w:val="18"/>
                <w:szCs w:val="18"/>
              </w:rPr>
              <w:t xml:space="preserve">BTR report, Knowledge management, Monitoring and Evaluation </w:t>
            </w:r>
          </w:p>
        </w:tc>
      </w:tr>
      <w:tr w:rsidR="00205BC1" w:rsidRPr="004870C7" w14:paraId="7D4D13E2" w14:textId="3E31841F" w:rsidTr="00205BC1">
        <w:trPr>
          <w:trHeight w:val="386"/>
        </w:trPr>
        <w:tc>
          <w:tcPr>
            <w:tcW w:w="3325" w:type="dxa"/>
            <w:shd w:val="pct12" w:color="auto" w:fill="auto"/>
          </w:tcPr>
          <w:p w14:paraId="229A8C55" w14:textId="24C9EC0A"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7FFB0EE3" w14:textId="5FA4B625"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5.1. Compilation of the 4NC/1BTR report</w:t>
            </w:r>
          </w:p>
          <w:p w14:paraId="062617F3" w14:textId="77777777" w:rsidR="00205BC1" w:rsidRPr="004870C7" w:rsidRDefault="00205BC1" w:rsidP="00466437">
            <w:pPr>
              <w:jc w:val="left"/>
              <w:rPr>
                <w:rFonts w:ascii="Times New Roman" w:hAnsi="Times New Roman"/>
                <w:b/>
                <w:bCs/>
                <w:sz w:val="18"/>
                <w:szCs w:val="18"/>
              </w:rPr>
            </w:pPr>
          </w:p>
          <w:p w14:paraId="1E066C20" w14:textId="77777777" w:rsidR="00205BC1" w:rsidRPr="004870C7" w:rsidRDefault="00205BC1" w:rsidP="00466437">
            <w:pPr>
              <w:jc w:val="left"/>
              <w:rPr>
                <w:rFonts w:ascii="Times New Roman" w:hAnsi="Times New Roman"/>
                <w:b/>
                <w:bCs/>
                <w:sz w:val="18"/>
                <w:szCs w:val="18"/>
              </w:rPr>
            </w:pPr>
          </w:p>
          <w:p w14:paraId="62671A96" w14:textId="30A88378" w:rsidR="00205BC1" w:rsidRPr="004870C7" w:rsidRDefault="00205BC1" w:rsidP="00466437">
            <w:pPr>
              <w:jc w:val="left"/>
              <w:rPr>
                <w:rFonts w:ascii="Times New Roman" w:hAnsi="Times New Roman"/>
                <w:b/>
                <w:bCs/>
                <w:sz w:val="18"/>
                <w:szCs w:val="18"/>
              </w:rPr>
            </w:pPr>
          </w:p>
        </w:tc>
        <w:tc>
          <w:tcPr>
            <w:tcW w:w="3432" w:type="dxa"/>
          </w:tcPr>
          <w:p w14:paraId="3A90CAC5" w14:textId="20B9BE8F" w:rsidR="00205BC1" w:rsidRPr="004870C7" w:rsidRDefault="00205BC1" w:rsidP="00466437">
            <w:pPr>
              <w:jc w:val="left"/>
              <w:rPr>
                <w:bCs/>
                <w:i/>
                <w:sz w:val="18"/>
                <w:szCs w:val="18"/>
              </w:rPr>
            </w:pPr>
            <w:r w:rsidRPr="004870C7">
              <w:rPr>
                <w:bCs/>
                <w:i/>
                <w:sz w:val="18"/>
                <w:szCs w:val="18"/>
              </w:rPr>
              <w:t xml:space="preserve">Indicator 15: </w:t>
            </w:r>
          </w:p>
          <w:p w14:paraId="59EFEA03" w14:textId="77777777" w:rsidR="00205BC1" w:rsidRPr="004870C7" w:rsidRDefault="00205BC1" w:rsidP="00466437">
            <w:pPr>
              <w:jc w:val="left"/>
              <w:rPr>
                <w:bCs/>
                <w:i/>
                <w:sz w:val="18"/>
                <w:szCs w:val="18"/>
              </w:rPr>
            </w:pPr>
          </w:p>
          <w:p w14:paraId="2873CB5A" w14:textId="6EC48D2A" w:rsidR="00205BC1" w:rsidRPr="004870C7" w:rsidRDefault="00205BC1" w:rsidP="00466437">
            <w:pPr>
              <w:jc w:val="left"/>
              <w:rPr>
                <w:bCs/>
                <w:iCs/>
                <w:sz w:val="18"/>
                <w:szCs w:val="18"/>
                <w:highlight w:val="yellow"/>
              </w:rPr>
            </w:pPr>
            <w:r w:rsidRPr="004870C7">
              <w:rPr>
                <w:bCs/>
                <w:iCs/>
                <w:sz w:val="18"/>
                <w:szCs w:val="18"/>
              </w:rPr>
              <w:t>4NC/1BTR developed and submitted to the UNFCCC Secretariat</w:t>
            </w:r>
          </w:p>
        </w:tc>
        <w:tc>
          <w:tcPr>
            <w:tcW w:w="2220" w:type="dxa"/>
            <w:gridSpan w:val="6"/>
          </w:tcPr>
          <w:p w14:paraId="49D6B204" w14:textId="6DC2CB97" w:rsidR="00205BC1" w:rsidRPr="004870C7" w:rsidRDefault="00205BC1" w:rsidP="00466437">
            <w:pPr>
              <w:jc w:val="left"/>
              <w:rPr>
                <w:bCs/>
                <w:iCs/>
                <w:sz w:val="18"/>
                <w:szCs w:val="18"/>
              </w:rPr>
            </w:pPr>
            <w:r w:rsidRPr="004870C7">
              <w:rPr>
                <w:bCs/>
                <w:iCs/>
                <w:sz w:val="18"/>
                <w:szCs w:val="18"/>
              </w:rPr>
              <w:t>TNC was submitted in October 2020</w:t>
            </w:r>
          </w:p>
        </w:tc>
        <w:tc>
          <w:tcPr>
            <w:tcW w:w="5508" w:type="dxa"/>
            <w:gridSpan w:val="5"/>
          </w:tcPr>
          <w:p w14:paraId="0CA65F66" w14:textId="237DD8E6" w:rsidR="00205BC1" w:rsidRPr="004870C7" w:rsidRDefault="00205BC1" w:rsidP="00466437">
            <w:pPr>
              <w:jc w:val="left"/>
              <w:rPr>
                <w:bCs/>
                <w:iCs/>
                <w:sz w:val="18"/>
                <w:szCs w:val="18"/>
              </w:rPr>
            </w:pPr>
            <w:r w:rsidRPr="004870C7">
              <w:rPr>
                <w:bCs/>
                <w:iCs/>
                <w:sz w:val="18"/>
                <w:szCs w:val="18"/>
              </w:rPr>
              <w:t>4NC/1BTR submitted to the UNFCCC</w:t>
            </w:r>
            <w:r w:rsidR="00E5050D">
              <w:rPr>
                <w:bCs/>
                <w:iCs/>
                <w:sz w:val="18"/>
                <w:szCs w:val="18"/>
              </w:rPr>
              <w:t xml:space="preserve"> by December 2024.</w:t>
            </w:r>
          </w:p>
        </w:tc>
      </w:tr>
      <w:tr w:rsidR="00466437" w:rsidRPr="004870C7" w14:paraId="46A084E5" w14:textId="77777777" w:rsidTr="00205BC1">
        <w:trPr>
          <w:trHeight w:val="350"/>
        </w:trPr>
        <w:tc>
          <w:tcPr>
            <w:tcW w:w="3325" w:type="dxa"/>
            <w:shd w:val="pct12" w:color="auto" w:fill="auto"/>
          </w:tcPr>
          <w:p w14:paraId="41562808" w14:textId="71710D74"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5.1</w:t>
            </w:r>
          </w:p>
        </w:tc>
        <w:tc>
          <w:tcPr>
            <w:tcW w:w="11160" w:type="dxa"/>
            <w:gridSpan w:val="12"/>
          </w:tcPr>
          <w:p w14:paraId="435255F8" w14:textId="13AECBA3" w:rsidR="00466437" w:rsidRPr="004870C7" w:rsidRDefault="00466437" w:rsidP="00466437">
            <w:pPr>
              <w:jc w:val="left"/>
              <w:rPr>
                <w:bCs/>
                <w:iCs/>
                <w:sz w:val="18"/>
                <w:szCs w:val="18"/>
              </w:rPr>
            </w:pPr>
            <w:r w:rsidRPr="004870C7">
              <w:rPr>
                <w:bCs/>
                <w:iCs/>
                <w:sz w:val="18"/>
                <w:szCs w:val="18"/>
              </w:rPr>
              <w:t>5.1.1 4NC/1BTR produced, consulted with relevant stakeholders, edited, reviewed, translated, published, approved and submitted to the UNFCCC Secretariat in by December 2024</w:t>
            </w:r>
            <w:r w:rsidR="000D4930" w:rsidRPr="004870C7">
              <w:rPr>
                <w:bCs/>
                <w:iCs/>
                <w:sz w:val="18"/>
                <w:szCs w:val="18"/>
              </w:rPr>
              <w:t>.</w:t>
            </w:r>
          </w:p>
          <w:p w14:paraId="214A9E1D" w14:textId="77777777" w:rsidR="00466437" w:rsidRPr="004870C7" w:rsidRDefault="00466437" w:rsidP="00466437">
            <w:pPr>
              <w:jc w:val="left"/>
              <w:rPr>
                <w:bCs/>
                <w:i/>
                <w:sz w:val="18"/>
                <w:szCs w:val="18"/>
                <w:highlight w:val="yellow"/>
              </w:rPr>
            </w:pPr>
          </w:p>
        </w:tc>
      </w:tr>
      <w:tr w:rsidR="00205BC1" w:rsidRPr="004870C7" w14:paraId="19539248" w14:textId="4198157A" w:rsidTr="00205BC1">
        <w:trPr>
          <w:trHeight w:val="557"/>
        </w:trPr>
        <w:tc>
          <w:tcPr>
            <w:tcW w:w="3325" w:type="dxa"/>
            <w:shd w:val="pct12" w:color="auto" w:fill="auto"/>
          </w:tcPr>
          <w:p w14:paraId="0159A76E" w14:textId="191E0278"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6BF9C0C1" w14:textId="173042ED" w:rsidR="00205BC1" w:rsidRPr="004870C7" w:rsidRDefault="00205BC1" w:rsidP="000D4930">
            <w:pPr>
              <w:jc w:val="left"/>
              <w:rPr>
                <w:rFonts w:ascii="Times New Roman" w:hAnsi="Times New Roman"/>
                <w:b/>
                <w:bCs/>
                <w:sz w:val="18"/>
                <w:szCs w:val="18"/>
              </w:rPr>
            </w:pPr>
            <w:r w:rsidRPr="004870C7">
              <w:rPr>
                <w:rFonts w:ascii="Times New Roman" w:hAnsi="Times New Roman"/>
                <w:b/>
                <w:bCs/>
                <w:sz w:val="18"/>
                <w:szCs w:val="18"/>
              </w:rPr>
              <w:t>5.2. Knowledge management</w:t>
            </w:r>
          </w:p>
        </w:tc>
        <w:tc>
          <w:tcPr>
            <w:tcW w:w="3432" w:type="dxa"/>
          </w:tcPr>
          <w:p w14:paraId="140155B4" w14:textId="2F517BA7" w:rsidR="00205BC1" w:rsidRPr="004870C7" w:rsidRDefault="00205BC1" w:rsidP="000D4930">
            <w:pPr>
              <w:jc w:val="left"/>
              <w:rPr>
                <w:bCs/>
                <w:i/>
                <w:sz w:val="18"/>
                <w:szCs w:val="18"/>
              </w:rPr>
            </w:pPr>
            <w:r w:rsidRPr="004870C7">
              <w:rPr>
                <w:bCs/>
                <w:i/>
                <w:sz w:val="18"/>
                <w:szCs w:val="18"/>
              </w:rPr>
              <w:t xml:space="preserve">Indicator 16: </w:t>
            </w:r>
          </w:p>
          <w:p w14:paraId="67649922" w14:textId="2DDD5D18" w:rsidR="00205BC1" w:rsidRPr="004870C7" w:rsidRDefault="003066D7" w:rsidP="00466437">
            <w:pPr>
              <w:jc w:val="left"/>
              <w:rPr>
                <w:bCs/>
                <w:iCs/>
                <w:sz w:val="18"/>
                <w:szCs w:val="18"/>
                <w:highlight w:val="yellow"/>
              </w:rPr>
            </w:pPr>
            <w:r>
              <w:rPr>
                <w:bCs/>
                <w:iCs/>
                <w:sz w:val="18"/>
                <w:szCs w:val="18"/>
              </w:rPr>
              <w:t>Number of working group meetings organized to present the f</w:t>
            </w:r>
            <w:r w:rsidR="00205BC1" w:rsidRPr="004870C7">
              <w:rPr>
                <w:bCs/>
                <w:iCs/>
                <w:sz w:val="18"/>
                <w:szCs w:val="18"/>
              </w:rPr>
              <w:t xml:space="preserve">indings and results of 4NC/1BTR  </w:t>
            </w:r>
          </w:p>
        </w:tc>
        <w:tc>
          <w:tcPr>
            <w:tcW w:w="2232" w:type="dxa"/>
            <w:gridSpan w:val="7"/>
          </w:tcPr>
          <w:p w14:paraId="629E0492" w14:textId="28A5A60F" w:rsidR="00205BC1" w:rsidRPr="004870C7" w:rsidRDefault="00205BC1" w:rsidP="000D4930">
            <w:pPr>
              <w:jc w:val="center"/>
              <w:rPr>
                <w:bCs/>
                <w:iCs/>
                <w:sz w:val="18"/>
                <w:szCs w:val="18"/>
              </w:rPr>
            </w:pPr>
            <w:r w:rsidRPr="004870C7">
              <w:rPr>
                <w:bCs/>
                <w:iCs/>
                <w:sz w:val="18"/>
                <w:szCs w:val="18"/>
              </w:rPr>
              <w:t>n/a</w:t>
            </w:r>
          </w:p>
        </w:tc>
        <w:tc>
          <w:tcPr>
            <w:tcW w:w="5496" w:type="dxa"/>
            <w:gridSpan w:val="4"/>
          </w:tcPr>
          <w:p w14:paraId="027CAE1C" w14:textId="20491D4A" w:rsidR="00205BC1" w:rsidRPr="004870C7" w:rsidRDefault="00205BC1" w:rsidP="000D4930">
            <w:pPr>
              <w:jc w:val="center"/>
              <w:rPr>
                <w:bCs/>
                <w:iCs/>
                <w:sz w:val="18"/>
                <w:szCs w:val="18"/>
                <w:highlight w:val="yellow"/>
              </w:rPr>
            </w:pPr>
            <w:r w:rsidRPr="004870C7">
              <w:rPr>
                <w:bCs/>
                <w:iCs/>
                <w:sz w:val="18"/>
                <w:szCs w:val="18"/>
              </w:rPr>
              <w:t>Findings and results of 4NC/1BTR presented at 3 working group</w:t>
            </w:r>
            <w:r w:rsidR="003066D7">
              <w:rPr>
                <w:bCs/>
                <w:iCs/>
                <w:sz w:val="18"/>
                <w:szCs w:val="18"/>
              </w:rPr>
              <w:t xml:space="preserve"> meetings</w:t>
            </w:r>
            <w:r w:rsidRPr="004870C7">
              <w:rPr>
                <w:bCs/>
                <w:iCs/>
                <w:sz w:val="18"/>
                <w:szCs w:val="18"/>
              </w:rPr>
              <w:t xml:space="preserve"> at least </w:t>
            </w:r>
          </w:p>
        </w:tc>
      </w:tr>
      <w:tr w:rsidR="00466437" w:rsidRPr="004870C7" w14:paraId="7F00B5D7" w14:textId="77777777" w:rsidTr="00205BC1">
        <w:trPr>
          <w:trHeight w:val="350"/>
        </w:trPr>
        <w:tc>
          <w:tcPr>
            <w:tcW w:w="3325" w:type="dxa"/>
            <w:shd w:val="pct12" w:color="auto" w:fill="auto"/>
          </w:tcPr>
          <w:p w14:paraId="5A61FC51" w14:textId="4398F436"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5.2</w:t>
            </w:r>
          </w:p>
        </w:tc>
        <w:tc>
          <w:tcPr>
            <w:tcW w:w="11160" w:type="dxa"/>
            <w:gridSpan w:val="12"/>
          </w:tcPr>
          <w:p w14:paraId="25121527" w14:textId="5DDD88DE" w:rsidR="00466437" w:rsidRPr="004870C7" w:rsidRDefault="00466437" w:rsidP="00466437">
            <w:pPr>
              <w:jc w:val="left"/>
              <w:rPr>
                <w:bCs/>
                <w:iCs/>
                <w:sz w:val="18"/>
                <w:szCs w:val="18"/>
              </w:rPr>
            </w:pPr>
            <w:r w:rsidRPr="004870C7">
              <w:rPr>
                <w:bCs/>
                <w:iCs/>
                <w:sz w:val="18"/>
                <w:szCs w:val="18"/>
              </w:rPr>
              <w:t xml:space="preserve">5.2.1 Regular workshops to discuss progress, exchange ideas and present findings of the NC </w:t>
            </w:r>
            <w:r w:rsidR="00FF6513" w:rsidRPr="004870C7">
              <w:rPr>
                <w:bCs/>
                <w:iCs/>
                <w:sz w:val="18"/>
                <w:szCs w:val="18"/>
              </w:rPr>
              <w:t>/</w:t>
            </w:r>
            <w:r w:rsidR="00A57B6C" w:rsidRPr="004870C7">
              <w:rPr>
                <w:bCs/>
                <w:iCs/>
                <w:sz w:val="18"/>
                <w:szCs w:val="18"/>
              </w:rPr>
              <w:t xml:space="preserve">BTR </w:t>
            </w:r>
            <w:r w:rsidRPr="004870C7">
              <w:rPr>
                <w:bCs/>
                <w:iCs/>
                <w:sz w:val="18"/>
                <w:szCs w:val="18"/>
              </w:rPr>
              <w:t>process</w:t>
            </w:r>
            <w:r w:rsidR="00A57B6C" w:rsidRPr="004870C7">
              <w:rPr>
                <w:bCs/>
                <w:iCs/>
                <w:sz w:val="18"/>
                <w:szCs w:val="18"/>
              </w:rPr>
              <w:t>es</w:t>
            </w:r>
            <w:r w:rsidRPr="004870C7">
              <w:rPr>
                <w:bCs/>
                <w:iCs/>
                <w:sz w:val="18"/>
                <w:szCs w:val="18"/>
              </w:rPr>
              <w:t xml:space="preserve"> organized</w:t>
            </w:r>
            <w:r w:rsidR="000D4930" w:rsidRPr="004870C7">
              <w:rPr>
                <w:bCs/>
                <w:iCs/>
                <w:sz w:val="18"/>
                <w:szCs w:val="18"/>
              </w:rPr>
              <w:t>.</w:t>
            </w:r>
          </w:p>
          <w:p w14:paraId="7C19A5F6" w14:textId="77777777" w:rsidR="00466437" w:rsidRPr="004870C7" w:rsidRDefault="00466437" w:rsidP="00466437">
            <w:pPr>
              <w:jc w:val="left"/>
              <w:rPr>
                <w:bCs/>
                <w:iCs/>
                <w:sz w:val="18"/>
                <w:szCs w:val="18"/>
                <w:highlight w:val="yellow"/>
              </w:rPr>
            </w:pPr>
          </w:p>
        </w:tc>
      </w:tr>
      <w:tr w:rsidR="00205BC1" w:rsidRPr="004870C7" w14:paraId="0D9D43CC" w14:textId="0E9C61C3" w:rsidTr="00205BC1">
        <w:trPr>
          <w:trHeight w:val="350"/>
        </w:trPr>
        <w:tc>
          <w:tcPr>
            <w:tcW w:w="3325" w:type="dxa"/>
            <w:shd w:val="pct12" w:color="auto" w:fill="auto"/>
          </w:tcPr>
          <w:p w14:paraId="08545470" w14:textId="16D890E8"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 xml:space="preserve">Outcome </w:t>
            </w:r>
          </w:p>
          <w:p w14:paraId="705D26C2" w14:textId="58E9DFEE" w:rsidR="00205BC1" w:rsidRPr="004870C7" w:rsidRDefault="00205BC1" w:rsidP="00466437">
            <w:pPr>
              <w:jc w:val="left"/>
              <w:rPr>
                <w:rFonts w:ascii="Times New Roman" w:hAnsi="Times New Roman"/>
                <w:b/>
                <w:bCs/>
                <w:sz w:val="18"/>
                <w:szCs w:val="18"/>
              </w:rPr>
            </w:pPr>
            <w:r w:rsidRPr="004870C7">
              <w:rPr>
                <w:rFonts w:ascii="Times New Roman" w:hAnsi="Times New Roman"/>
                <w:b/>
                <w:bCs/>
                <w:sz w:val="18"/>
                <w:szCs w:val="18"/>
              </w:rPr>
              <w:t>5.3. Monitoring and Evaluation</w:t>
            </w:r>
          </w:p>
        </w:tc>
        <w:tc>
          <w:tcPr>
            <w:tcW w:w="3456" w:type="dxa"/>
            <w:gridSpan w:val="2"/>
          </w:tcPr>
          <w:p w14:paraId="2626CA26" w14:textId="0D3BC91C" w:rsidR="00205BC1" w:rsidRPr="004870C7" w:rsidRDefault="00205BC1" w:rsidP="000D4930">
            <w:pPr>
              <w:jc w:val="left"/>
              <w:rPr>
                <w:bCs/>
                <w:i/>
                <w:sz w:val="18"/>
                <w:szCs w:val="18"/>
              </w:rPr>
            </w:pPr>
            <w:r w:rsidRPr="004870C7">
              <w:rPr>
                <w:bCs/>
                <w:i/>
                <w:sz w:val="18"/>
                <w:szCs w:val="18"/>
              </w:rPr>
              <w:t>Indicator 17:</w:t>
            </w:r>
          </w:p>
          <w:p w14:paraId="40A4CEC5" w14:textId="214E257D" w:rsidR="00205BC1" w:rsidRPr="004870C7" w:rsidRDefault="00205BC1" w:rsidP="00466437">
            <w:pPr>
              <w:jc w:val="left"/>
              <w:rPr>
                <w:bCs/>
                <w:iCs/>
                <w:sz w:val="18"/>
                <w:szCs w:val="18"/>
              </w:rPr>
            </w:pPr>
            <w:r w:rsidRPr="004870C7">
              <w:rPr>
                <w:bCs/>
                <w:iCs/>
                <w:sz w:val="18"/>
                <w:szCs w:val="18"/>
              </w:rPr>
              <w:t xml:space="preserve">Monitoring and Evaluation conducted as per applicable rules and procedures </w:t>
            </w:r>
          </w:p>
        </w:tc>
        <w:tc>
          <w:tcPr>
            <w:tcW w:w="2220" w:type="dxa"/>
            <w:gridSpan w:val="8"/>
          </w:tcPr>
          <w:p w14:paraId="1A98DD8F" w14:textId="77777777" w:rsidR="00205BC1" w:rsidRPr="004870C7" w:rsidRDefault="00205BC1" w:rsidP="00466437">
            <w:pPr>
              <w:jc w:val="left"/>
              <w:rPr>
                <w:bCs/>
                <w:iCs/>
                <w:sz w:val="18"/>
                <w:szCs w:val="18"/>
              </w:rPr>
            </w:pPr>
          </w:p>
        </w:tc>
        <w:tc>
          <w:tcPr>
            <w:tcW w:w="5484" w:type="dxa"/>
            <w:gridSpan w:val="2"/>
          </w:tcPr>
          <w:p w14:paraId="205F2652" w14:textId="73DEC752" w:rsidR="00205BC1" w:rsidRPr="004870C7" w:rsidRDefault="00205BC1" w:rsidP="00466437">
            <w:pPr>
              <w:jc w:val="left"/>
              <w:rPr>
                <w:bCs/>
                <w:iCs/>
                <w:sz w:val="18"/>
                <w:szCs w:val="18"/>
              </w:rPr>
            </w:pPr>
            <w:r w:rsidRPr="004870C7">
              <w:rPr>
                <w:bCs/>
                <w:iCs/>
                <w:sz w:val="18"/>
                <w:szCs w:val="18"/>
              </w:rPr>
              <w:t>Monitoring and Evaluation conducted in line with the approved M&amp;E Plan</w:t>
            </w:r>
            <w:r>
              <w:rPr>
                <w:bCs/>
                <w:iCs/>
                <w:sz w:val="18"/>
                <w:szCs w:val="18"/>
              </w:rPr>
              <w:t xml:space="preserve">, including Inception Workshop,  annual status surveys and End of Project Report  </w:t>
            </w:r>
            <w:r w:rsidRPr="004870C7">
              <w:rPr>
                <w:bCs/>
                <w:iCs/>
                <w:sz w:val="18"/>
                <w:szCs w:val="18"/>
              </w:rPr>
              <w:t xml:space="preserve"> </w:t>
            </w:r>
          </w:p>
        </w:tc>
      </w:tr>
      <w:tr w:rsidR="00466437" w:rsidRPr="004870C7" w14:paraId="0D8836C5" w14:textId="77777777" w:rsidTr="00205BC1">
        <w:trPr>
          <w:trHeight w:val="350"/>
        </w:trPr>
        <w:tc>
          <w:tcPr>
            <w:tcW w:w="3325" w:type="dxa"/>
            <w:shd w:val="pct12" w:color="auto" w:fill="auto"/>
          </w:tcPr>
          <w:p w14:paraId="7BBF7A8C" w14:textId="77B9D11F" w:rsidR="00466437" w:rsidRPr="004870C7" w:rsidRDefault="00466437" w:rsidP="00466437">
            <w:pPr>
              <w:jc w:val="left"/>
              <w:rPr>
                <w:rFonts w:ascii="Times New Roman" w:hAnsi="Times New Roman"/>
                <w:b/>
                <w:bCs/>
                <w:sz w:val="18"/>
                <w:szCs w:val="18"/>
              </w:rPr>
            </w:pPr>
            <w:r w:rsidRPr="004870C7">
              <w:rPr>
                <w:rFonts w:ascii="Times New Roman" w:hAnsi="Times New Roman"/>
                <w:b/>
                <w:bCs/>
                <w:sz w:val="18"/>
                <w:szCs w:val="18"/>
              </w:rPr>
              <w:t xml:space="preserve">Outputs to achieve Outcome </w:t>
            </w:r>
            <w:r w:rsidR="007F0AFA" w:rsidRPr="004870C7">
              <w:rPr>
                <w:rFonts w:ascii="Times New Roman" w:hAnsi="Times New Roman"/>
                <w:b/>
                <w:bCs/>
                <w:sz w:val="18"/>
                <w:szCs w:val="18"/>
              </w:rPr>
              <w:t>5.3</w:t>
            </w:r>
            <w:r w:rsidRPr="004870C7">
              <w:rPr>
                <w:rFonts w:ascii="Times New Roman" w:hAnsi="Times New Roman"/>
                <w:b/>
                <w:bCs/>
                <w:sz w:val="18"/>
                <w:szCs w:val="18"/>
              </w:rPr>
              <w:t xml:space="preserve"> </w:t>
            </w:r>
          </w:p>
        </w:tc>
        <w:tc>
          <w:tcPr>
            <w:tcW w:w="11160" w:type="dxa"/>
            <w:gridSpan w:val="12"/>
          </w:tcPr>
          <w:p w14:paraId="271E47E2" w14:textId="530BDB45" w:rsidR="00466437" w:rsidRPr="004870C7" w:rsidRDefault="00466437" w:rsidP="00466437">
            <w:pPr>
              <w:jc w:val="left"/>
              <w:rPr>
                <w:bCs/>
                <w:iCs/>
                <w:sz w:val="18"/>
                <w:szCs w:val="18"/>
              </w:rPr>
            </w:pPr>
            <w:r w:rsidRPr="004870C7">
              <w:rPr>
                <w:bCs/>
                <w:iCs/>
                <w:sz w:val="18"/>
                <w:szCs w:val="18"/>
              </w:rPr>
              <w:t>5.3.1 Inception workshop and closure workshop organized</w:t>
            </w:r>
            <w:r w:rsidR="000D4930" w:rsidRPr="004870C7">
              <w:rPr>
                <w:bCs/>
                <w:iCs/>
                <w:sz w:val="18"/>
                <w:szCs w:val="18"/>
              </w:rPr>
              <w:t>.</w:t>
            </w:r>
          </w:p>
          <w:p w14:paraId="4FB86558" w14:textId="3C94C625" w:rsidR="00466437" w:rsidRPr="004870C7" w:rsidRDefault="00466437" w:rsidP="00466437">
            <w:pPr>
              <w:jc w:val="left"/>
              <w:rPr>
                <w:bCs/>
                <w:iCs/>
                <w:sz w:val="18"/>
                <w:szCs w:val="18"/>
              </w:rPr>
            </w:pPr>
            <w:r w:rsidRPr="004870C7">
              <w:rPr>
                <w:bCs/>
                <w:iCs/>
                <w:sz w:val="18"/>
                <w:szCs w:val="18"/>
              </w:rPr>
              <w:t>5.3.2 Project annual financial and progress reports, as well as periodic monitoring and evaluation (M&amp;E) prepared</w:t>
            </w:r>
            <w:r w:rsidR="000D4930" w:rsidRPr="004870C7">
              <w:rPr>
                <w:bCs/>
                <w:iCs/>
                <w:sz w:val="18"/>
                <w:szCs w:val="18"/>
              </w:rPr>
              <w:t>.</w:t>
            </w:r>
          </w:p>
          <w:p w14:paraId="7BCD4976" w14:textId="7014BC4E" w:rsidR="00466437" w:rsidRPr="004870C7" w:rsidRDefault="00466437" w:rsidP="00466437">
            <w:pPr>
              <w:jc w:val="left"/>
              <w:rPr>
                <w:bCs/>
                <w:iCs/>
                <w:sz w:val="18"/>
                <w:szCs w:val="18"/>
              </w:rPr>
            </w:pPr>
            <w:r w:rsidRPr="004870C7">
              <w:rPr>
                <w:bCs/>
                <w:iCs/>
                <w:sz w:val="18"/>
                <w:szCs w:val="18"/>
              </w:rPr>
              <w:lastRenderedPageBreak/>
              <w:t>5.3.3 End of project report incl. compilation of lessons learned and recommendations for future projects.</w:t>
            </w:r>
          </w:p>
        </w:tc>
      </w:tr>
    </w:tbl>
    <w:p w14:paraId="403AC3C4" w14:textId="77777777" w:rsidR="0053408E" w:rsidRPr="004870C7" w:rsidRDefault="0053408E" w:rsidP="00C87177">
      <w:pPr>
        <w:sectPr w:rsidR="0053408E" w:rsidRPr="004870C7" w:rsidSect="009F19D4">
          <w:pgSz w:w="15840" w:h="12240" w:orient="landscape" w:code="1"/>
          <w:pgMar w:top="720" w:right="720" w:bottom="720" w:left="720" w:header="720" w:footer="432" w:gutter="0"/>
          <w:cols w:space="708"/>
          <w:titlePg/>
          <w:docGrid w:linePitch="360"/>
        </w:sectPr>
      </w:pPr>
    </w:p>
    <w:p w14:paraId="538A9963" w14:textId="243278AB" w:rsidR="00E336E5" w:rsidRPr="004870C7" w:rsidRDefault="0053408E" w:rsidP="00F76C7D">
      <w:pPr>
        <w:pStyle w:val="Heading1"/>
        <w:spacing w:before="0" w:after="60"/>
        <w:rPr>
          <w:rFonts w:ascii="Calibri" w:hAnsi="Calibri"/>
          <w:szCs w:val="28"/>
        </w:rPr>
      </w:pPr>
      <w:bookmarkStart w:id="15" w:name="_Toc75965550"/>
      <w:bookmarkStart w:id="16" w:name="_Toc207800914"/>
      <w:bookmarkStart w:id="17" w:name="_Toc407785522"/>
      <w:bookmarkEnd w:id="13"/>
      <w:r w:rsidRPr="004870C7">
        <w:rPr>
          <w:rFonts w:ascii="Calibri" w:hAnsi="Calibri"/>
          <w:szCs w:val="28"/>
        </w:rPr>
        <w:lastRenderedPageBreak/>
        <w:t>Monitoring and Evaluation (M&amp;E) Plan</w:t>
      </w:r>
      <w:bookmarkEnd w:id="15"/>
    </w:p>
    <w:p w14:paraId="3F4BFEDB" w14:textId="77777777" w:rsidR="00F76C7D" w:rsidRPr="004870C7" w:rsidRDefault="00F76C7D" w:rsidP="00F76C7D"/>
    <w:p w14:paraId="072B5F7B" w14:textId="3F5EDB5A" w:rsidR="00793A57" w:rsidRPr="004870C7" w:rsidRDefault="0053408E" w:rsidP="00EF102A">
      <w:pPr>
        <w:spacing w:after="0"/>
        <w:rPr>
          <w:rFonts w:cs="Calibri"/>
          <w:szCs w:val="20"/>
        </w:rPr>
      </w:pPr>
      <w:r w:rsidRPr="004870C7">
        <w:rPr>
          <w:rFonts w:cs="Calibri"/>
          <w:szCs w:val="20"/>
        </w:rPr>
        <w:t>The project results</w:t>
      </w:r>
      <w:r w:rsidR="00223FD3" w:rsidRPr="004870C7">
        <w:rPr>
          <w:rFonts w:cs="Calibri"/>
          <w:szCs w:val="20"/>
        </w:rPr>
        <w:t>, corresponding indicators and mid-term and end-of-project targets</w:t>
      </w:r>
      <w:r w:rsidR="00243D31" w:rsidRPr="004870C7">
        <w:rPr>
          <w:rFonts w:cs="Calibri"/>
          <w:szCs w:val="20"/>
        </w:rPr>
        <w:t xml:space="preserve"> in</w:t>
      </w:r>
      <w:r w:rsidRPr="004870C7">
        <w:rPr>
          <w:rFonts w:cs="Calibri"/>
          <w:szCs w:val="20"/>
        </w:rPr>
        <w:t xml:space="preserve"> the project results framework will be monitored annually and evaluated periodically during project implementation.</w:t>
      </w:r>
      <w:r w:rsidR="00243D31" w:rsidRPr="004870C7">
        <w:rPr>
          <w:rFonts w:cs="Calibri"/>
          <w:szCs w:val="20"/>
        </w:rPr>
        <w:t xml:space="preserve"> </w:t>
      </w:r>
      <w:r w:rsidR="00793A57" w:rsidRPr="004870C7">
        <w:rPr>
          <w:rFonts w:cs="Calibri"/>
          <w:szCs w:val="20"/>
        </w:rPr>
        <w:t>If baseline data for some of the results indicators is not yet available, it will be collected during the first year of project implementation</w:t>
      </w:r>
      <w:r w:rsidR="00B344BE" w:rsidRPr="004870C7">
        <w:rPr>
          <w:rFonts w:cs="Calibri"/>
          <w:szCs w:val="20"/>
        </w:rPr>
        <w:t xml:space="preserve">. The </w:t>
      </w:r>
      <w:r w:rsidR="00793A57" w:rsidRPr="004870C7">
        <w:rPr>
          <w:rFonts w:cs="Calibri"/>
          <w:szCs w:val="20"/>
        </w:rPr>
        <w:t>Monitoring Plan included in Annex</w:t>
      </w:r>
      <w:r w:rsidR="00B344BE" w:rsidRPr="004870C7">
        <w:rPr>
          <w:rFonts w:cs="Calibri"/>
          <w:szCs w:val="20"/>
        </w:rPr>
        <w:t xml:space="preserve"> </w:t>
      </w:r>
      <w:r w:rsidR="00FB54F0" w:rsidRPr="004870C7">
        <w:rPr>
          <w:rFonts w:cs="Calibri"/>
          <w:szCs w:val="20"/>
        </w:rPr>
        <w:t xml:space="preserve">4 </w:t>
      </w:r>
      <w:r w:rsidR="00B344BE" w:rsidRPr="004870C7">
        <w:rPr>
          <w:rFonts w:cs="Calibri"/>
          <w:szCs w:val="20"/>
        </w:rPr>
        <w:t>details the roles, responsibilities,</w:t>
      </w:r>
      <w:r w:rsidR="009A4659" w:rsidRPr="004870C7">
        <w:rPr>
          <w:rFonts w:cs="Calibri"/>
          <w:szCs w:val="20"/>
        </w:rPr>
        <w:t xml:space="preserve"> and</w:t>
      </w:r>
      <w:r w:rsidR="00B344BE" w:rsidRPr="004870C7">
        <w:rPr>
          <w:rFonts w:cs="Calibri"/>
          <w:szCs w:val="20"/>
        </w:rPr>
        <w:t xml:space="preserve"> frequency of monitoring project results.</w:t>
      </w:r>
      <w:r w:rsidR="00793A57" w:rsidRPr="004870C7">
        <w:rPr>
          <w:rFonts w:cs="Calibri"/>
          <w:szCs w:val="20"/>
        </w:rPr>
        <w:t xml:space="preserve"> </w:t>
      </w:r>
    </w:p>
    <w:p w14:paraId="25FAB678" w14:textId="77777777" w:rsidR="00793A57" w:rsidRPr="004870C7" w:rsidRDefault="00793A57" w:rsidP="00EF102A">
      <w:pPr>
        <w:spacing w:after="0"/>
        <w:rPr>
          <w:rFonts w:cs="Calibri"/>
          <w:szCs w:val="20"/>
        </w:rPr>
      </w:pPr>
    </w:p>
    <w:p w14:paraId="1E36E9B2" w14:textId="77777777" w:rsidR="00B344BE" w:rsidRPr="004870C7" w:rsidRDefault="0053408E" w:rsidP="00EF102A">
      <w:pPr>
        <w:spacing w:after="0"/>
        <w:rPr>
          <w:rStyle w:val="Hyperlink"/>
          <w:rFonts w:cs="Calibri"/>
          <w:color w:val="auto"/>
          <w:szCs w:val="20"/>
          <w:u w:val="none"/>
        </w:rPr>
      </w:pPr>
      <w:r w:rsidRPr="004870C7">
        <w:rPr>
          <w:rFonts w:cs="Calibri"/>
          <w:szCs w:val="20"/>
        </w:rPr>
        <w:t>Project-level monitoring and evaluation will be undertaken in compliance with</w:t>
      </w:r>
      <w:r w:rsidR="004D2F82" w:rsidRPr="004870C7">
        <w:rPr>
          <w:rFonts w:cs="Calibri"/>
          <w:szCs w:val="20"/>
        </w:rPr>
        <w:t xml:space="preserve"> </w:t>
      </w:r>
      <w:r w:rsidR="00C36EC7" w:rsidRPr="004870C7">
        <w:rPr>
          <w:rFonts w:cs="Calibri"/>
          <w:szCs w:val="20"/>
        </w:rPr>
        <w:t xml:space="preserve">UNDP </w:t>
      </w:r>
      <w:r w:rsidR="004D2F82" w:rsidRPr="004870C7">
        <w:rPr>
          <w:rFonts w:cs="Calibri"/>
          <w:szCs w:val="20"/>
        </w:rPr>
        <w:t>requirements as outlined in the</w:t>
      </w:r>
      <w:r w:rsidRPr="004870C7">
        <w:rPr>
          <w:rFonts w:cs="Calibri"/>
          <w:szCs w:val="20"/>
        </w:rPr>
        <w:t xml:space="preserve"> </w:t>
      </w:r>
      <w:hyperlink r:id="rId22" w:history="1">
        <w:r w:rsidRPr="004870C7">
          <w:rPr>
            <w:rStyle w:val="Hyperlink"/>
            <w:rFonts w:cs="Calibri"/>
            <w:szCs w:val="20"/>
          </w:rPr>
          <w:t>UNDP POPP</w:t>
        </w:r>
      </w:hyperlink>
      <w:r w:rsidR="004D2F82" w:rsidRPr="004870C7">
        <w:rPr>
          <w:rStyle w:val="Hyperlink"/>
          <w:rFonts w:cs="Calibri"/>
          <w:szCs w:val="20"/>
        </w:rPr>
        <w:t xml:space="preserve"> </w:t>
      </w:r>
      <w:r w:rsidR="004D2F82" w:rsidRPr="004870C7">
        <w:rPr>
          <w:rStyle w:val="Hyperlink"/>
          <w:rFonts w:cs="Calibri"/>
          <w:color w:val="auto"/>
          <w:szCs w:val="20"/>
          <w:u w:val="none"/>
        </w:rPr>
        <w:t xml:space="preserve">and </w:t>
      </w:r>
      <w:hyperlink r:id="rId23" w:history="1">
        <w:r w:rsidR="004D2F82" w:rsidRPr="004870C7">
          <w:rPr>
            <w:rStyle w:val="Hyperlink"/>
            <w:rFonts w:cs="Calibri"/>
            <w:szCs w:val="20"/>
          </w:rPr>
          <w:t>UNDP Evaluation Policy</w:t>
        </w:r>
      </w:hyperlink>
      <w:r w:rsidR="008F7176" w:rsidRPr="004870C7">
        <w:rPr>
          <w:rStyle w:val="Hyperlink"/>
          <w:rFonts w:cs="Calibri"/>
          <w:szCs w:val="20"/>
          <w:u w:val="none"/>
        </w:rPr>
        <w:t>.</w:t>
      </w:r>
      <w:r w:rsidR="00B344BE" w:rsidRPr="004870C7">
        <w:rPr>
          <w:rStyle w:val="Hyperlink"/>
          <w:rFonts w:cs="Calibri"/>
          <w:szCs w:val="20"/>
          <w:u w:val="none"/>
        </w:rPr>
        <w:t xml:space="preserve"> </w:t>
      </w:r>
      <w:r w:rsidR="00B344BE" w:rsidRPr="004870C7">
        <w:rPr>
          <w:rStyle w:val="Hyperlink"/>
          <w:rFonts w:cs="Calibri"/>
          <w:color w:val="auto"/>
          <w:szCs w:val="20"/>
          <w:u w:val="none"/>
        </w:rPr>
        <w:t xml:space="preserve">The UNDP Country Office is responsible for ensuring full compliance with all UNDP project monitoring, quality assurance, risk management, and evaluation requirements. </w:t>
      </w:r>
    </w:p>
    <w:p w14:paraId="3BB00BCF" w14:textId="77777777" w:rsidR="00B344BE" w:rsidRPr="004870C7" w:rsidRDefault="00B344BE" w:rsidP="00EF102A">
      <w:pPr>
        <w:spacing w:after="0"/>
        <w:rPr>
          <w:rFonts w:cs="Calibri"/>
          <w:szCs w:val="20"/>
        </w:rPr>
      </w:pPr>
    </w:p>
    <w:p w14:paraId="6BC1DC3D" w14:textId="77777777" w:rsidR="00BC1B09" w:rsidRPr="004870C7" w:rsidRDefault="00B83FE7" w:rsidP="00EF102A">
      <w:pPr>
        <w:spacing w:after="0"/>
        <w:rPr>
          <w:rFonts w:cs="Calibri"/>
          <w:szCs w:val="20"/>
        </w:rPr>
      </w:pPr>
      <w:r w:rsidRPr="004870C7">
        <w:rPr>
          <w:rFonts w:cs="Calibri"/>
          <w:szCs w:val="20"/>
        </w:rPr>
        <w:t>A</w:t>
      </w:r>
      <w:r w:rsidR="00C36EC7" w:rsidRPr="004870C7">
        <w:rPr>
          <w:rFonts w:cs="Calibri"/>
          <w:szCs w:val="20"/>
        </w:rPr>
        <w:t>dditional</w:t>
      </w:r>
      <w:r w:rsidR="004D2F82" w:rsidRPr="004870C7">
        <w:rPr>
          <w:rFonts w:cs="Calibri"/>
          <w:szCs w:val="20"/>
        </w:rPr>
        <w:t xml:space="preserve"> </w:t>
      </w:r>
      <w:r w:rsidR="00C36EC7" w:rsidRPr="004870C7">
        <w:rPr>
          <w:rFonts w:cs="Calibri"/>
          <w:szCs w:val="20"/>
        </w:rPr>
        <w:t xml:space="preserve">mandatory </w:t>
      </w:r>
      <w:r w:rsidR="004D2F82" w:rsidRPr="004870C7">
        <w:rPr>
          <w:rFonts w:cs="Calibri"/>
          <w:szCs w:val="20"/>
        </w:rPr>
        <w:t xml:space="preserve">GEF-specific M&amp;E requirements </w:t>
      </w:r>
      <w:r w:rsidR="00C36EC7" w:rsidRPr="004870C7">
        <w:rPr>
          <w:rFonts w:cs="Calibri"/>
          <w:szCs w:val="20"/>
        </w:rPr>
        <w:t xml:space="preserve">will be undertaken in accordance with </w:t>
      </w:r>
      <w:r w:rsidR="0053408E" w:rsidRPr="004870C7">
        <w:rPr>
          <w:rFonts w:cs="Calibri"/>
          <w:szCs w:val="20"/>
        </w:rPr>
        <w:t xml:space="preserve">the </w:t>
      </w:r>
      <w:hyperlink r:id="rId24" w:history="1">
        <w:r w:rsidR="0053408E" w:rsidRPr="004870C7">
          <w:rPr>
            <w:rStyle w:val="Hyperlink"/>
            <w:rFonts w:cs="Calibri"/>
            <w:szCs w:val="20"/>
          </w:rPr>
          <w:t>GEF</w:t>
        </w:r>
        <w:r w:rsidR="00243D31" w:rsidRPr="004870C7">
          <w:rPr>
            <w:rStyle w:val="Hyperlink"/>
            <w:rFonts w:cs="Calibri"/>
            <w:szCs w:val="20"/>
          </w:rPr>
          <w:t xml:space="preserve"> Monitoring Policy</w:t>
        </w:r>
      </w:hyperlink>
      <w:r w:rsidR="00243D31" w:rsidRPr="004870C7">
        <w:rPr>
          <w:rFonts w:cs="Calibri"/>
          <w:szCs w:val="20"/>
        </w:rPr>
        <w:t xml:space="preserve"> and the </w:t>
      </w:r>
      <w:hyperlink r:id="rId25" w:history="1">
        <w:r w:rsidR="00243D31" w:rsidRPr="004870C7">
          <w:rPr>
            <w:rStyle w:val="Hyperlink"/>
            <w:rFonts w:cs="Calibri"/>
            <w:szCs w:val="20"/>
          </w:rPr>
          <w:t>GEF Evaluation Policy</w:t>
        </w:r>
      </w:hyperlink>
      <w:r w:rsidR="004D2F82" w:rsidRPr="004870C7">
        <w:rPr>
          <w:rFonts w:cs="Calibri"/>
          <w:szCs w:val="20"/>
        </w:rPr>
        <w:t xml:space="preserve"> and </w:t>
      </w:r>
      <w:r w:rsidRPr="004870C7">
        <w:rPr>
          <w:rFonts w:cs="Calibri"/>
          <w:szCs w:val="20"/>
        </w:rPr>
        <w:t xml:space="preserve">other </w:t>
      </w:r>
      <w:hyperlink r:id="rId26" w:history="1">
        <w:r w:rsidRPr="004870C7">
          <w:rPr>
            <w:rStyle w:val="Hyperlink"/>
            <w:rFonts w:cs="Calibri"/>
            <w:szCs w:val="20"/>
          </w:rPr>
          <w:t xml:space="preserve">relevant </w:t>
        </w:r>
        <w:r w:rsidR="0053408E" w:rsidRPr="004870C7">
          <w:rPr>
            <w:rStyle w:val="Hyperlink"/>
            <w:rFonts w:cs="Calibri"/>
            <w:szCs w:val="20"/>
          </w:rPr>
          <w:t xml:space="preserve">GEF </w:t>
        </w:r>
        <w:r w:rsidRPr="004870C7">
          <w:rPr>
            <w:rStyle w:val="Hyperlink"/>
            <w:rFonts w:cs="Calibri"/>
            <w:szCs w:val="20"/>
          </w:rPr>
          <w:t>policies</w:t>
        </w:r>
      </w:hyperlink>
      <w:r w:rsidRPr="004870C7">
        <w:rPr>
          <w:rStyle w:val="FootnoteReference"/>
          <w:szCs w:val="20"/>
        </w:rPr>
        <w:footnoteReference w:id="7"/>
      </w:r>
      <w:r w:rsidR="00941466" w:rsidRPr="004870C7">
        <w:rPr>
          <w:rFonts w:cs="Calibri"/>
          <w:szCs w:val="20"/>
        </w:rPr>
        <w:t xml:space="preserve">. </w:t>
      </w:r>
      <w:r w:rsidR="00B344BE" w:rsidRPr="004870C7">
        <w:rPr>
          <w:rFonts w:cs="Calibri"/>
          <w:szCs w:val="20"/>
        </w:rPr>
        <w:t>The costed M&amp;E plan included below, and the Monitoring plan in Annex, will guide the GEF-specific M&amp;E activities to be undertaken by this project.</w:t>
      </w:r>
    </w:p>
    <w:p w14:paraId="072AFA6A" w14:textId="77777777" w:rsidR="00BC1B09" w:rsidRPr="004870C7" w:rsidRDefault="00BC1B09" w:rsidP="00EF102A">
      <w:pPr>
        <w:spacing w:after="0"/>
        <w:rPr>
          <w:rFonts w:cs="Calibri"/>
          <w:szCs w:val="20"/>
        </w:rPr>
      </w:pPr>
    </w:p>
    <w:p w14:paraId="16D55781" w14:textId="77777777" w:rsidR="00243D31" w:rsidRPr="004870C7" w:rsidRDefault="00941466" w:rsidP="00EF102A">
      <w:pPr>
        <w:spacing w:after="0"/>
        <w:rPr>
          <w:rFonts w:cs="Calibri"/>
          <w:szCs w:val="20"/>
        </w:rPr>
      </w:pPr>
      <w:r w:rsidRPr="004870C7">
        <w:rPr>
          <w:rFonts w:cs="Calibri"/>
          <w:szCs w:val="20"/>
        </w:rPr>
        <w:t>In addition to the</w:t>
      </w:r>
      <w:r w:rsidR="00C36EC7" w:rsidRPr="004870C7">
        <w:rPr>
          <w:rFonts w:cs="Calibri"/>
          <w:szCs w:val="20"/>
        </w:rPr>
        <w:t>se</w:t>
      </w:r>
      <w:r w:rsidRPr="004870C7">
        <w:rPr>
          <w:rFonts w:cs="Calibri"/>
          <w:szCs w:val="20"/>
        </w:rPr>
        <w:t xml:space="preserve"> </w:t>
      </w:r>
      <w:r w:rsidR="00C36EC7" w:rsidRPr="004870C7">
        <w:rPr>
          <w:rFonts w:cs="Calibri"/>
          <w:szCs w:val="20"/>
        </w:rPr>
        <w:t xml:space="preserve">mandatory </w:t>
      </w:r>
      <w:r w:rsidRPr="004870C7">
        <w:rPr>
          <w:rFonts w:cs="Calibri"/>
          <w:szCs w:val="20"/>
        </w:rPr>
        <w:t xml:space="preserve">UNDP </w:t>
      </w:r>
      <w:r w:rsidR="00C36EC7" w:rsidRPr="004870C7">
        <w:rPr>
          <w:rFonts w:cs="Calibri"/>
          <w:szCs w:val="20"/>
        </w:rPr>
        <w:t xml:space="preserve">and GEF </w:t>
      </w:r>
      <w:r w:rsidRPr="004870C7">
        <w:rPr>
          <w:rFonts w:cs="Calibri"/>
          <w:szCs w:val="20"/>
        </w:rPr>
        <w:t>M&amp;E requirements</w:t>
      </w:r>
      <w:r w:rsidR="00C36EC7" w:rsidRPr="004870C7">
        <w:rPr>
          <w:rFonts w:cs="Calibri"/>
          <w:szCs w:val="20"/>
        </w:rPr>
        <w:t>, other</w:t>
      </w:r>
      <w:r w:rsidRPr="004870C7">
        <w:rPr>
          <w:rFonts w:cs="Calibri"/>
          <w:szCs w:val="20"/>
        </w:rPr>
        <w:t xml:space="preserve"> </w:t>
      </w:r>
      <w:r w:rsidR="0053408E" w:rsidRPr="004870C7">
        <w:rPr>
          <w:rFonts w:cs="Calibri"/>
          <w:szCs w:val="20"/>
        </w:rPr>
        <w:t xml:space="preserve">M&amp;E </w:t>
      </w:r>
      <w:r w:rsidRPr="004870C7">
        <w:rPr>
          <w:rFonts w:cs="Calibri"/>
          <w:szCs w:val="20"/>
        </w:rPr>
        <w:t>a</w:t>
      </w:r>
      <w:r w:rsidR="0053408E" w:rsidRPr="004870C7">
        <w:rPr>
          <w:rFonts w:cs="Calibri"/>
          <w:szCs w:val="20"/>
        </w:rPr>
        <w:t>ctivities deemed necessary to support project-level adaptive management</w:t>
      </w:r>
      <w:r w:rsidR="00BC1B09" w:rsidRPr="004870C7">
        <w:rPr>
          <w:rFonts w:cs="Calibri"/>
          <w:szCs w:val="20"/>
        </w:rPr>
        <w:t xml:space="preserve"> will be </w:t>
      </w:r>
      <w:r w:rsidR="008071BF" w:rsidRPr="004870C7">
        <w:rPr>
          <w:rFonts w:cs="Calibri"/>
          <w:szCs w:val="20"/>
        </w:rPr>
        <w:t>agreed</w:t>
      </w:r>
      <w:r w:rsidR="00BC1B09" w:rsidRPr="004870C7">
        <w:rPr>
          <w:rFonts w:cs="Calibri"/>
          <w:szCs w:val="20"/>
        </w:rPr>
        <w:t xml:space="preserve"> during the</w:t>
      </w:r>
      <w:r w:rsidR="00E804FD" w:rsidRPr="004870C7">
        <w:rPr>
          <w:rFonts w:cs="Calibri"/>
          <w:szCs w:val="20"/>
        </w:rPr>
        <w:t xml:space="preserve"> Project</w:t>
      </w:r>
      <w:r w:rsidR="00BC1B09" w:rsidRPr="004870C7">
        <w:rPr>
          <w:rFonts w:cs="Calibri"/>
          <w:szCs w:val="20"/>
        </w:rPr>
        <w:t xml:space="preserve"> Inception Workshop and will be detailed in the Inception Report. </w:t>
      </w:r>
    </w:p>
    <w:p w14:paraId="118A9CAC" w14:textId="77777777" w:rsidR="00243D31" w:rsidRPr="004870C7" w:rsidRDefault="00243D31" w:rsidP="00EF102A">
      <w:pPr>
        <w:spacing w:after="0"/>
        <w:rPr>
          <w:rFonts w:cs="Calibri"/>
          <w:szCs w:val="20"/>
        </w:rPr>
      </w:pPr>
    </w:p>
    <w:p w14:paraId="04DAE858" w14:textId="23F2EB46" w:rsidR="001331CC" w:rsidRPr="004870C7" w:rsidRDefault="0053408E" w:rsidP="00EF102A">
      <w:pPr>
        <w:spacing w:after="0"/>
        <w:rPr>
          <w:i/>
          <w:szCs w:val="20"/>
        </w:rPr>
      </w:pPr>
      <w:r w:rsidRPr="004870C7">
        <w:rPr>
          <w:rFonts w:cs="Calibri"/>
          <w:b/>
          <w:szCs w:val="20"/>
        </w:rPr>
        <w:t>Additional GEF monitoring and reporting requirements</w:t>
      </w:r>
      <w:r w:rsidR="001331CC" w:rsidRPr="004870C7">
        <w:rPr>
          <w:rFonts w:cs="Calibri"/>
          <w:b/>
          <w:szCs w:val="20"/>
        </w:rPr>
        <w:t>:</w:t>
      </w:r>
      <w:r w:rsidR="001331CC" w:rsidRPr="004870C7">
        <w:rPr>
          <w:i/>
          <w:szCs w:val="20"/>
          <w:highlight w:val="magenta"/>
        </w:rPr>
        <w:t xml:space="preserve"> </w:t>
      </w:r>
    </w:p>
    <w:p w14:paraId="30B436EA" w14:textId="77777777" w:rsidR="006A6A9E" w:rsidRPr="004870C7" w:rsidRDefault="006A6A9E" w:rsidP="00EF102A">
      <w:pPr>
        <w:spacing w:after="0"/>
        <w:rPr>
          <w:rFonts w:cs="Calibri"/>
          <w:szCs w:val="20"/>
          <w:u w:val="single"/>
        </w:rPr>
      </w:pPr>
    </w:p>
    <w:p w14:paraId="4183C305" w14:textId="3477BC29" w:rsidR="00684999" w:rsidRPr="004870C7" w:rsidRDefault="00684999" w:rsidP="00EF102A">
      <w:pPr>
        <w:spacing w:after="0"/>
        <w:rPr>
          <w:rFonts w:cs="Calibri"/>
          <w:szCs w:val="20"/>
        </w:rPr>
      </w:pPr>
      <w:r w:rsidRPr="004870C7">
        <w:rPr>
          <w:rFonts w:cs="Calibri"/>
          <w:szCs w:val="20"/>
          <w:u w:val="single"/>
        </w:rPr>
        <w:t>Inception Workshop and Report</w:t>
      </w:r>
      <w:r w:rsidRPr="004870C7">
        <w:rPr>
          <w:rFonts w:cs="Calibri"/>
          <w:szCs w:val="20"/>
        </w:rPr>
        <w:t xml:space="preserve">:  A project inception workshop will be held within 60 days of project </w:t>
      </w:r>
      <w:r w:rsidR="005A2B5D" w:rsidRPr="004870C7">
        <w:rPr>
          <w:rFonts w:cs="Calibri"/>
          <w:szCs w:val="20"/>
        </w:rPr>
        <w:t>document signature</w:t>
      </w:r>
      <w:r w:rsidRPr="004870C7">
        <w:rPr>
          <w:rFonts w:cs="Calibri"/>
          <w:szCs w:val="20"/>
        </w:rPr>
        <w:t xml:space="preserve">, with the aim to: </w:t>
      </w:r>
    </w:p>
    <w:p w14:paraId="76DD6BC8" w14:textId="10368D59"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 xml:space="preserve">Familiarize key stakeholders with the detailed project strategy and discuss any changes that may have taken place in the overall context since the project idea was initially conceptualized that may influence its strategy and implementation. </w:t>
      </w:r>
    </w:p>
    <w:p w14:paraId="277CD71C" w14:textId="77777777"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 xml:space="preserve">Discuss the roles and responsibilities of the project team, including reporting lines, stakeholder engagement strategies and conflict resolution mechanisms. </w:t>
      </w:r>
    </w:p>
    <w:p w14:paraId="35D5DBE6" w14:textId="77777777"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 xml:space="preserve">Review the results framework and monitoring plan. </w:t>
      </w:r>
    </w:p>
    <w:p w14:paraId="6AC65474" w14:textId="77777777" w:rsidR="00684999" w:rsidRPr="004870C7" w:rsidRDefault="00684999" w:rsidP="00EF102A">
      <w:pPr>
        <w:pStyle w:val="ListParagraph"/>
        <w:numPr>
          <w:ilvl w:val="0"/>
          <w:numId w:val="24"/>
        </w:numPr>
        <w:jc w:val="both"/>
        <w:rPr>
          <w:rFonts w:asciiTheme="minorHAnsi" w:hAnsiTheme="minorHAnsi" w:cs="Calibri"/>
          <w:sz w:val="20"/>
          <w:szCs w:val="20"/>
        </w:rPr>
      </w:pPr>
      <w:r w:rsidRPr="004870C7">
        <w:rPr>
          <w:rFonts w:asciiTheme="minorHAnsi" w:hAnsiTheme="minorHAnsi"/>
          <w:sz w:val="20"/>
          <w:szCs w:val="20"/>
        </w:rPr>
        <w:t>Discuss reporting, monitoring and evaluation roles and responsibilities and finalize the M&amp;E budget; identify national/regional institutes to be involved in project-level M&amp;E; discuss the role of the GEF OFP and other stakeholders in project-level M&amp;E.</w:t>
      </w:r>
    </w:p>
    <w:p w14:paraId="2B3440DA" w14:textId="29166182"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Update and review responsibilities for monitoring project strategies, including the risk log;</w:t>
      </w:r>
      <w:r w:rsidR="006C1CB1" w:rsidRPr="004870C7">
        <w:rPr>
          <w:rFonts w:asciiTheme="minorHAnsi" w:hAnsiTheme="minorHAnsi"/>
          <w:sz w:val="20"/>
          <w:szCs w:val="20"/>
        </w:rPr>
        <w:t xml:space="preserve"> SESP</w:t>
      </w:r>
      <w:r w:rsidRPr="004870C7">
        <w:rPr>
          <w:rFonts w:asciiTheme="minorHAnsi" w:hAnsiTheme="minorHAnsi"/>
          <w:sz w:val="20"/>
          <w:szCs w:val="20"/>
        </w:rPr>
        <w:t xml:space="preserve"> report, </w:t>
      </w:r>
      <w:r w:rsidR="006C1CB1" w:rsidRPr="004870C7">
        <w:rPr>
          <w:rFonts w:asciiTheme="minorHAnsi" w:hAnsiTheme="minorHAnsi"/>
          <w:sz w:val="20"/>
          <w:szCs w:val="20"/>
        </w:rPr>
        <w:t xml:space="preserve">Social and </w:t>
      </w:r>
      <w:r w:rsidRPr="004870C7">
        <w:rPr>
          <w:rFonts w:asciiTheme="minorHAnsi" w:hAnsiTheme="minorHAnsi"/>
          <w:sz w:val="20"/>
          <w:szCs w:val="20"/>
        </w:rPr>
        <w:t xml:space="preserve">Environmental Management Framework and other safeguard requirements; project grievance mechanisms; gender </w:t>
      </w:r>
      <w:r w:rsidR="006C1CB1" w:rsidRPr="004870C7">
        <w:rPr>
          <w:rFonts w:asciiTheme="minorHAnsi" w:hAnsiTheme="minorHAnsi"/>
          <w:sz w:val="20"/>
          <w:szCs w:val="20"/>
        </w:rPr>
        <w:t>strategy; knowledge</w:t>
      </w:r>
      <w:r w:rsidRPr="004870C7">
        <w:rPr>
          <w:rFonts w:asciiTheme="minorHAnsi" w:hAnsiTheme="minorHAnsi"/>
          <w:sz w:val="20"/>
          <w:szCs w:val="20"/>
        </w:rPr>
        <w:t xml:space="preserve"> management strategy, and other relevant management strategies.</w:t>
      </w:r>
    </w:p>
    <w:p w14:paraId="0733930C" w14:textId="1CBBEAC7"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 xml:space="preserve">Review financial reporting procedures and budget monitoring and other mandatory </w:t>
      </w:r>
      <w:r w:rsidR="006C1CB1" w:rsidRPr="004870C7">
        <w:rPr>
          <w:rFonts w:asciiTheme="minorHAnsi" w:hAnsiTheme="minorHAnsi"/>
          <w:sz w:val="20"/>
          <w:szCs w:val="20"/>
        </w:rPr>
        <w:t>requirements and</w:t>
      </w:r>
      <w:r w:rsidRPr="004870C7">
        <w:rPr>
          <w:rFonts w:asciiTheme="minorHAnsi" w:hAnsiTheme="minorHAnsi"/>
          <w:sz w:val="20"/>
          <w:szCs w:val="20"/>
        </w:rPr>
        <w:t xml:space="preserve"> agree on the arrangements for the annual audit. </w:t>
      </w:r>
    </w:p>
    <w:p w14:paraId="609F95FB" w14:textId="16011AB0" w:rsidR="00684999" w:rsidRPr="004870C7" w:rsidRDefault="00684999"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 xml:space="preserve">Plan and schedule Project Board meetings and finalize the first-year annual work plan.  </w:t>
      </w:r>
    </w:p>
    <w:p w14:paraId="4369930D" w14:textId="41CC7E22" w:rsidR="0086069F" w:rsidRPr="004870C7" w:rsidRDefault="0086069F" w:rsidP="00EF102A">
      <w:pPr>
        <w:pStyle w:val="ListParagraph"/>
        <w:numPr>
          <w:ilvl w:val="0"/>
          <w:numId w:val="24"/>
        </w:numPr>
        <w:jc w:val="both"/>
        <w:rPr>
          <w:rFonts w:asciiTheme="minorHAnsi" w:hAnsiTheme="minorHAnsi"/>
          <w:sz w:val="20"/>
          <w:szCs w:val="20"/>
        </w:rPr>
      </w:pPr>
      <w:r w:rsidRPr="004870C7">
        <w:rPr>
          <w:rFonts w:asciiTheme="minorHAnsi" w:hAnsiTheme="minorHAnsi"/>
          <w:sz w:val="20"/>
          <w:szCs w:val="20"/>
        </w:rPr>
        <w:t>Formally launch the Project.</w:t>
      </w:r>
    </w:p>
    <w:p w14:paraId="1F313EF8" w14:textId="77777777" w:rsidR="00793A57" w:rsidRPr="004870C7" w:rsidRDefault="00793A57" w:rsidP="00EF102A">
      <w:pPr>
        <w:pStyle w:val="NormalWeb"/>
        <w:spacing w:before="0" w:beforeAutospacing="0" w:after="0" w:afterAutospacing="0"/>
        <w:rPr>
          <w:rFonts w:ascii="Calibri" w:hAnsi="Calibri" w:cs="Calibri"/>
          <w:sz w:val="20"/>
          <w:szCs w:val="20"/>
          <w:u w:val="single"/>
        </w:rPr>
      </w:pPr>
    </w:p>
    <w:p w14:paraId="37D6D32F" w14:textId="77777777" w:rsidR="00FB54F0" w:rsidRPr="004870C7" w:rsidRDefault="00FB54F0" w:rsidP="00FB54F0">
      <w:pPr>
        <w:rPr>
          <w:rFonts w:asciiTheme="minorHAnsi" w:hAnsiTheme="minorHAnsi"/>
          <w:szCs w:val="20"/>
        </w:rPr>
      </w:pPr>
      <w:r w:rsidRPr="004870C7">
        <w:rPr>
          <w:rFonts w:asciiTheme="minorHAnsi" w:hAnsiTheme="minorHAnsi"/>
          <w:szCs w:val="20"/>
        </w:rPr>
        <w:t xml:space="preserve">The Project Manager will prepare the inception report no later than one month after the inception workshop. The inception report will be prepared in one of the official UN languages, duly signed by designated persons, cleared by the UNDP Country Office and the UNDP-GEF Regional Technical Adviser, and will be approved by the Project Board.   </w:t>
      </w:r>
    </w:p>
    <w:p w14:paraId="3C25B644" w14:textId="4DDBFBB5" w:rsidR="00333592" w:rsidRPr="004870C7" w:rsidRDefault="00333592" w:rsidP="001354E3">
      <w:pPr>
        <w:spacing w:after="0"/>
        <w:jc w:val="left"/>
        <w:rPr>
          <w:szCs w:val="20"/>
          <w:u w:val="single"/>
        </w:rPr>
      </w:pPr>
    </w:p>
    <w:p w14:paraId="0B54308A" w14:textId="77777777" w:rsidR="00FB54F0" w:rsidRPr="004870C7" w:rsidRDefault="00FB54F0" w:rsidP="001354E3">
      <w:pPr>
        <w:spacing w:after="0"/>
        <w:jc w:val="left"/>
        <w:rPr>
          <w:szCs w:val="20"/>
          <w:u w:val="single"/>
        </w:rPr>
      </w:pPr>
    </w:p>
    <w:p w14:paraId="17684703" w14:textId="77777777" w:rsidR="00A160E6" w:rsidRPr="004870C7" w:rsidRDefault="00A160E6" w:rsidP="00A160E6">
      <w:pPr>
        <w:pStyle w:val="NormalWeb"/>
        <w:spacing w:before="0" w:beforeAutospacing="0" w:after="120" w:afterAutospacing="0"/>
        <w:jc w:val="left"/>
        <w:rPr>
          <w:rFonts w:ascii="Calibri" w:hAnsi="Calibri" w:cs="Calibri"/>
          <w:color w:val="000000" w:themeColor="text1"/>
          <w:sz w:val="20"/>
          <w:szCs w:val="20"/>
          <w:u w:val="single"/>
        </w:rPr>
      </w:pPr>
      <w:r w:rsidRPr="004870C7">
        <w:rPr>
          <w:rFonts w:ascii="Calibri" w:hAnsi="Calibri" w:cs="Calibri"/>
          <w:color w:val="000000" w:themeColor="text1"/>
          <w:sz w:val="20"/>
          <w:szCs w:val="20"/>
          <w:u w:val="single"/>
        </w:rPr>
        <w:t>Annual progress:</w:t>
      </w:r>
    </w:p>
    <w:p w14:paraId="1678EFD8" w14:textId="77777777" w:rsidR="00A160E6" w:rsidRPr="004870C7" w:rsidRDefault="00A160E6" w:rsidP="00775AFE">
      <w:pPr>
        <w:pStyle w:val="NormalWeb"/>
        <w:spacing w:before="0" w:beforeAutospacing="0" w:after="0" w:afterAutospacing="0"/>
        <w:rPr>
          <w:rFonts w:ascii="Calibri" w:hAnsi="Calibri" w:cs="Calibri"/>
          <w:color w:val="000000" w:themeColor="text1"/>
          <w:sz w:val="20"/>
          <w:szCs w:val="20"/>
        </w:rPr>
      </w:pPr>
      <w:r w:rsidRPr="004870C7">
        <w:rPr>
          <w:rFonts w:ascii="Calibri" w:hAnsi="Calibri" w:cs="Calibri"/>
          <w:color w:val="000000" w:themeColor="text1"/>
          <w:sz w:val="20"/>
          <w:szCs w:val="20"/>
        </w:rPr>
        <w:lastRenderedPageBreak/>
        <w:t>Status Survey Questionnaires to indicate progress and identify bottleneck as well as technical support needs will be carried out once a year.</w:t>
      </w:r>
    </w:p>
    <w:p w14:paraId="3A1E40D9" w14:textId="77777777" w:rsidR="00333592" w:rsidRPr="004870C7" w:rsidRDefault="00333592" w:rsidP="001354E3">
      <w:pPr>
        <w:spacing w:after="0"/>
        <w:jc w:val="left"/>
        <w:rPr>
          <w:szCs w:val="20"/>
          <w:u w:val="single"/>
        </w:rPr>
      </w:pPr>
    </w:p>
    <w:p w14:paraId="35AA9BC0" w14:textId="44E40E9C" w:rsidR="00333592" w:rsidRPr="004870C7" w:rsidRDefault="00333592" w:rsidP="00EF102A">
      <w:pPr>
        <w:pStyle w:val="NormalWeb"/>
        <w:spacing w:before="0" w:beforeAutospacing="0" w:after="120" w:afterAutospacing="0"/>
        <w:rPr>
          <w:rFonts w:ascii="Calibri" w:hAnsi="Calibri" w:cs="Calibri"/>
          <w:color w:val="000000" w:themeColor="text1"/>
          <w:sz w:val="20"/>
          <w:szCs w:val="20"/>
          <w:u w:val="single"/>
        </w:rPr>
      </w:pPr>
      <w:r w:rsidRPr="004870C7">
        <w:rPr>
          <w:rFonts w:ascii="Calibri" w:hAnsi="Calibri" w:cs="Calibri"/>
          <w:color w:val="000000" w:themeColor="text1"/>
          <w:sz w:val="20"/>
          <w:szCs w:val="20"/>
          <w:u w:val="single"/>
        </w:rPr>
        <w:t>End of Project:</w:t>
      </w:r>
    </w:p>
    <w:p w14:paraId="6D25E333" w14:textId="77777777" w:rsidR="00333592" w:rsidRPr="004870C7" w:rsidRDefault="00333592" w:rsidP="00EF102A">
      <w:pPr>
        <w:pStyle w:val="NormalWeb"/>
        <w:spacing w:before="0" w:beforeAutospacing="0" w:after="0" w:afterAutospacing="0"/>
        <w:rPr>
          <w:rFonts w:ascii="Calibri" w:hAnsi="Calibri" w:cs="Calibri"/>
          <w:color w:val="000000" w:themeColor="text1"/>
          <w:sz w:val="20"/>
          <w:szCs w:val="20"/>
        </w:rPr>
      </w:pPr>
      <w:r w:rsidRPr="004870C7">
        <w:rPr>
          <w:rFonts w:ascii="Calibri" w:hAnsi="Calibri" w:cs="Calibri"/>
          <w:color w:val="000000" w:themeColor="text1"/>
          <w:sz w:val="20"/>
          <w:szCs w:val="20"/>
        </w:rPr>
        <w:t>During the last three months, the project team will prepare the End of Project Report (template included in Annex 14). This comprehensive report will summarize the results achieved (objectives, outcomes, outputs), lessons learned, problems met and areas where results may not have been achieved.  It will also lay out recommendations for any further steps that may need to be taken to ensure sustainability and replicability of the project’s results.</w:t>
      </w:r>
    </w:p>
    <w:p w14:paraId="32B7CCAC" w14:textId="77777777" w:rsidR="00333592" w:rsidRPr="004870C7" w:rsidRDefault="00333592" w:rsidP="00EF102A">
      <w:pPr>
        <w:spacing w:after="0"/>
        <w:rPr>
          <w:szCs w:val="20"/>
          <w:u w:val="single"/>
        </w:rPr>
      </w:pPr>
    </w:p>
    <w:p w14:paraId="36ECE51C" w14:textId="5F7BFD78" w:rsidR="00264073" w:rsidRPr="004870C7" w:rsidRDefault="00264073" w:rsidP="00EF102A">
      <w:pPr>
        <w:spacing w:after="0"/>
        <w:rPr>
          <w:rFonts w:cs="Segoe UI"/>
          <w:color w:val="000000"/>
          <w:szCs w:val="20"/>
        </w:rPr>
      </w:pPr>
      <w:r w:rsidRPr="004870C7">
        <w:rPr>
          <w:szCs w:val="20"/>
          <w:u w:val="single"/>
        </w:rPr>
        <w:t>Agreement on intellectual property rights and use of logo on the project’s deliverables and disclosure of information</w:t>
      </w:r>
      <w:r w:rsidRPr="004870C7">
        <w:rPr>
          <w:b/>
          <w:szCs w:val="20"/>
        </w:rPr>
        <w:t xml:space="preserve">:  </w:t>
      </w:r>
      <w:r w:rsidRPr="004870C7">
        <w:rPr>
          <w:szCs w:val="20"/>
        </w:rPr>
        <w:t>T</w:t>
      </w:r>
      <w:r w:rsidRPr="004870C7">
        <w:rPr>
          <w:rFonts w:cs="Calibri"/>
          <w:szCs w:val="20"/>
        </w:rPr>
        <w:t>o accord proper acknowledgement to the GEF for providing grant funding, the GEF logo will appear together with the UNDP logo on all promotional materials, other written materials like publications developed by the project, and project hardware. Any citation on publications regarding projects funded by the GEF will also accord proper acknowledgement to the GEF. Information will be disclosed in accordance with relevant policies notably the UNDP Disclosure Policy</w:t>
      </w:r>
      <w:r w:rsidRPr="004870C7">
        <w:rPr>
          <w:rStyle w:val="FootnoteReference"/>
          <w:szCs w:val="20"/>
        </w:rPr>
        <w:footnoteReference w:id="8"/>
      </w:r>
      <w:r w:rsidRPr="004870C7">
        <w:rPr>
          <w:rFonts w:cs="Calibri"/>
          <w:szCs w:val="20"/>
        </w:rPr>
        <w:t xml:space="preserve"> and</w:t>
      </w:r>
      <w:r w:rsidRPr="004870C7">
        <w:rPr>
          <w:rFonts w:cs="Segoe UI"/>
          <w:color w:val="000000"/>
          <w:szCs w:val="20"/>
        </w:rPr>
        <w:t xml:space="preserve"> the GEF policy on public involvement</w:t>
      </w:r>
      <w:r w:rsidRPr="004870C7">
        <w:rPr>
          <w:rStyle w:val="FootnoteReference"/>
          <w:color w:val="000000"/>
          <w:szCs w:val="20"/>
        </w:rPr>
        <w:footnoteReference w:id="9"/>
      </w:r>
      <w:r w:rsidRPr="004870C7">
        <w:rPr>
          <w:rFonts w:cs="Segoe UI"/>
          <w:color w:val="000000"/>
          <w:szCs w:val="20"/>
        </w:rPr>
        <w:t xml:space="preserve">. </w:t>
      </w:r>
    </w:p>
    <w:p w14:paraId="3E58800F" w14:textId="77777777" w:rsidR="003D66AA" w:rsidRPr="004870C7" w:rsidRDefault="003D66AA" w:rsidP="003D66AA"/>
    <w:p w14:paraId="48A152D4" w14:textId="1CD80F23" w:rsidR="003D66AA" w:rsidRPr="004870C7" w:rsidRDefault="003D66AA" w:rsidP="001354E3">
      <w:pPr>
        <w:jc w:val="left"/>
        <w:rPr>
          <w:rFonts w:cs="Arial"/>
          <w:b/>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410"/>
        <w:gridCol w:w="3284"/>
      </w:tblGrid>
      <w:tr w:rsidR="00765CEA" w:rsidRPr="004870C7" w14:paraId="1A5BBF48" w14:textId="77777777" w:rsidTr="00775AFE">
        <w:trPr>
          <w:trHeight w:val="1697"/>
          <w:tblHeader/>
          <w:jc w:val="center"/>
        </w:trPr>
        <w:tc>
          <w:tcPr>
            <w:tcW w:w="8808" w:type="dxa"/>
            <w:gridSpan w:val="3"/>
            <w:shd w:val="clear" w:color="auto" w:fill="BFBFBF"/>
          </w:tcPr>
          <w:p w14:paraId="5C530DEA" w14:textId="77777777" w:rsidR="00765CEA" w:rsidRPr="004870C7" w:rsidRDefault="00765CEA" w:rsidP="0032777B">
            <w:pPr>
              <w:spacing w:after="0"/>
              <w:jc w:val="left"/>
              <w:rPr>
                <w:i/>
                <w:szCs w:val="20"/>
              </w:rPr>
            </w:pPr>
            <w:r w:rsidRPr="004870C7">
              <w:rPr>
                <w:rFonts w:cs="Calibri"/>
                <w:b/>
                <w:sz w:val="18"/>
                <w:szCs w:val="18"/>
              </w:rPr>
              <w:t>Monitoring and Evaluation Plan and Budget</w:t>
            </w:r>
            <w:r w:rsidRPr="004870C7">
              <w:rPr>
                <w:rFonts w:cs="Calibri"/>
                <w:b/>
                <w:szCs w:val="20"/>
              </w:rPr>
              <w:t xml:space="preserve">: </w:t>
            </w:r>
          </w:p>
          <w:p w14:paraId="7949AC16" w14:textId="77777777" w:rsidR="00765CEA" w:rsidRPr="004870C7" w:rsidRDefault="00765CEA" w:rsidP="0032777B">
            <w:pPr>
              <w:spacing w:after="0"/>
              <w:jc w:val="left"/>
              <w:rPr>
                <w:iCs/>
                <w:szCs w:val="20"/>
              </w:rPr>
            </w:pPr>
            <w:r w:rsidRPr="004870C7">
              <w:rPr>
                <w:iCs/>
                <w:szCs w:val="20"/>
              </w:rPr>
              <w:t>This M&amp;E plan and budget provides a breakdown of costs for M&amp;E activities to be led by the Project Management Unit during project implementation. These costs are included in Component 4 of the Results Framework and TBWP.</w:t>
            </w:r>
            <w:r w:rsidRPr="004870C7">
              <w:rPr>
                <w:rFonts w:eastAsia="Times New Roman"/>
              </w:rPr>
              <w:t xml:space="preserve"> For ease of reporting M&amp;E costs, please include all costs reported in the M&amp;E plan under the one technical component.</w:t>
            </w:r>
            <w:r w:rsidRPr="004870C7">
              <w:rPr>
                <w:iCs/>
                <w:szCs w:val="20"/>
              </w:rPr>
              <w:t xml:space="preserve"> The oversight and participation of the UNDP Country Office/Regional technical advisors/HQ Units are not included as these are covered by the GEF Fee.</w:t>
            </w:r>
          </w:p>
        </w:tc>
      </w:tr>
      <w:tr w:rsidR="002238E6" w:rsidRPr="004870C7" w14:paraId="74C6E2BF" w14:textId="77777777" w:rsidTr="002238E6">
        <w:trPr>
          <w:trHeight w:val="512"/>
          <w:tblHeader/>
          <w:jc w:val="center"/>
        </w:trPr>
        <w:tc>
          <w:tcPr>
            <w:tcW w:w="3114" w:type="dxa"/>
            <w:shd w:val="clear" w:color="auto" w:fill="BFBFBF"/>
          </w:tcPr>
          <w:p w14:paraId="4CC5E73A" w14:textId="77777777" w:rsidR="002238E6" w:rsidRPr="004870C7" w:rsidRDefault="002238E6" w:rsidP="0032777B">
            <w:pPr>
              <w:jc w:val="left"/>
              <w:rPr>
                <w:rFonts w:cs="Calibri"/>
                <w:b/>
                <w:sz w:val="18"/>
                <w:szCs w:val="18"/>
              </w:rPr>
            </w:pPr>
            <w:r w:rsidRPr="004870C7">
              <w:rPr>
                <w:rFonts w:cs="Calibri"/>
                <w:b/>
                <w:sz w:val="18"/>
                <w:szCs w:val="18"/>
              </w:rPr>
              <w:t>GEF M&amp;E requirements</w:t>
            </w:r>
          </w:p>
          <w:p w14:paraId="5F446D24" w14:textId="77777777" w:rsidR="002238E6" w:rsidRPr="004870C7" w:rsidRDefault="002238E6" w:rsidP="0032777B">
            <w:pPr>
              <w:jc w:val="left"/>
              <w:rPr>
                <w:rFonts w:cs="Calibri"/>
                <w:b/>
                <w:sz w:val="18"/>
                <w:szCs w:val="18"/>
              </w:rPr>
            </w:pPr>
          </w:p>
        </w:tc>
        <w:tc>
          <w:tcPr>
            <w:tcW w:w="2410" w:type="dxa"/>
            <w:shd w:val="clear" w:color="auto" w:fill="BFBFBF"/>
          </w:tcPr>
          <w:p w14:paraId="4D4AC09B" w14:textId="77777777" w:rsidR="002238E6" w:rsidRPr="004870C7" w:rsidRDefault="002238E6" w:rsidP="0032777B">
            <w:pPr>
              <w:jc w:val="left"/>
              <w:rPr>
                <w:rFonts w:cs="Calibri"/>
                <w:b/>
                <w:sz w:val="18"/>
                <w:szCs w:val="18"/>
              </w:rPr>
            </w:pPr>
            <w:r w:rsidRPr="004870C7">
              <w:rPr>
                <w:rFonts w:cs="Calibri"/>
                <w:b/>
                <w:sz w:val="18"/>
                <w:szCs w:val="18"/>
              </w:rPr>
              <w:t>Indicative costs (US$)</w:t>
            </w:r>
          </w:p>
        </w:tc>
        <w:tc>
          <w:tcPr>
            <w:tcW w:w="3284" w:type="dxa"/>
            <w:shd w:val="clear" w:color="auto" w:fill="BFBFBF"/>
          </w:tcPr>
          <w:p w14:paraId="47CBE96D" w14:textId="77777777" w:rsidR="002238E6" w:rsidRPr="004870C7" w:rsidRDefault="002238E6" w:rsidP="0032777B">
            <w:pPr>
              <w:jc w:val="left"/>
              <w:rPr>
                <w:rFonts w:cs="Calibri"/>
                <w:b/>
                <w:sz w:val="18"/>
                <w:szCs w:val="18"/>
              </w:rPr>
            </w:pPr>
            <w:r w:rsidRPr="004870C7">
              <w:rPr>
                <w:rFonts w:cs="Calibri"/>
                <w:b/>
                <w:sz w:val="18"/>
                <w:szCs w:val="18"/>
              </w:rPr>
              <w:t>Time frame</w:t>
            </w:r>
          </w:p>
        </w:tc>
      </w:tr>
      <w:tr w:rsidR="002238E6" w:rsidRPr="004870C7" w14:paraId="59291C06" w14:textId="77777777" w:rsidTr="002238E6">
        <w:trPr>
          <w:trHeight w:val="548"/>
          <w:jc w:val="center"/>
        </w:trPr>
        <w:tc>
          <w:tcPr>
            <w:tcW w:w="3114" w:type="dxa"/>
          </w:tcPr>
          <w:p w14:paraId="0CF5A5A9" w14:textId="77777777" w:rsidR="002238E6" w:rsidRPr="004870C7" w:rsidRDefault="002238E6" w:rsidP="0032777B">
            <w:pPr>
              <w:jc w:val="left"/>
              <w:rPr>
                <w:rFonts w:cs="Calibri"/>
                <w:b/>
                <w:sz w:val="18"/>
                <w:szCs w:val="18"/>
              </w:rPr>
            </w:pPr>
            <w:r w:rsidRPr="004870C7">
              <w:rPr>
                <w:rFonts w:cs="Calibri"/>
                <w:b/>
                <w:sz w:val="18"/>
                <w:szCs w:val="18"/>
              </w:rPr>
              <w:t xml:space="preserve">Inception Workshop </w:t>
            </w:r>
          </w:p>
        </w:tc>
        <w:tc>
          <w:tcPr>
            <w:tcW w:w="2410" w:type="dxa"/>
          </w:tcPr>
          <w:p w14:paraId="42499863" w14:textId="0779B229" w:rsidR="002238E6" w:rsidRPr="00BB7043" w:rsidRDefault="00B22454" w:rsidP="0032777B">
            <w:pPr>
              <w:jc w:val="left"/>
              <w:rPr>
                <w:rFonts w:cs="Calibri"/>
                <w:iCs/>
                <w:sz w:val="18"/>
                <w:szCs w:val="18"/>
              </w:rPr>
            </w:pPr>
            <w:r>
              <w:rPr>
                <w:rFonts w:cs="Calibri"/>
                <w:iCs/>
                <w:sz w:val="18"/>
                <w:szCs w:val="18"/>
              </w:rPr>
              <w:t>3</w:t>
            </w:r>
            <w:r w:rsidR="007D75DB" w:rsidRPr="00BB7043">
              <w:rPr>
                <w:rFonts w:cs="Calibri"/>
                <w:iCs/>
                <w:sz w:val="18"/>
                <w:szCs w:val="18"/>
              </w:rPr>
              <w:t>,000</w:t>
            </w:r>
          </w:p>
        </w:tc>
        <w:tc>
          <w:tcPr>
            <w:tcW w:w="3284" w:type="dxa"/>
          </w:tcPr>
          <w:p w14:paraId="1C67E782" w14:textId="17A1F3DC" w:rsidR="002238E6" w:rsidRPr="004870C7" w:rsidRDefault="007430EF" w:rsidP="0032777B">
            <w:pPr>
              <w:jc w:val="left"/>
              <w:rPr>
                <w:rFonts w:cs="Calibri"/>
                <w:iCs/>
                <w:sz w:val="18"/>
                <w:szCs w:val="18"/>
              </w:rPr>
            </w:pPr>
            <w:r w:rsidRPr="007430EF">
              <w:rPr>
                <w:rFonts w:cs="Calibri"/>
                <w:iCs/>
                <w:sz w:val="18"/>
                <w:szCs w:val="18"/>
              </w:rPr>
              <w:t>Within two months after First Disbursement</w:t>
            </w:r>
          </w:p>
        </w:tc>
      </w:tr>
      <w:tr w:rsidR="002238E6" w:rsidRPr="004870C7" w14:paraId="08030AC0" w14:textId="77777777" w:rsidTr="002238E6">
        <w:trPr>
          <w:jc w:val="center"/>
        </w:trPr>
        <w:tc>
          <w:tcPr>
            <w:tcW w:w="3114" w:type="dxa"/>
          </w:tcPr>
          <w:p w14:paraId="1924FC0E" w14:textId="77777777" w:rsidR="002238E6" w:rsidRPr="004870C7" w:rsidRDefault="002238E6" w:rsidP="0032777B">
            <w:pPr>
              <w:jc w:val="left"/>
              <w:rPr>
                <w:rFonts w:cs="Calibri"/>
                <w:b/>
                <w:sz w:val="18"/>
                <w:szCs w:val="18"/>
              </w:rPr>
            </w:pPr>
            <w:r w:rsidRPr="004870C7">
              <w:rPr>
                <w:rFonts w:cs="Calibri"/>
                <w:b/>
                <w:sz w:val="18"/>
                <w:szCs w:val="18"/>
              </w:rPr>
              <w:t>Inception Report</w:t>
            </w:r>
          </w:p>
        </w:tc>
        <w:tc>
          <w:tcPr>
            <w:tcW w:w="2410" w:type="dxa"/>
          </w:tcPr>
          <w:p w14:paraId="35A91267" w14:textId="77777777" w:rsidR="002238E6" w:rsidRPr="00BB7043" w:rsidRDefault="002238E6" w:rsidP="0032777B">
            <w:pPr>
              <w:jc w:val="left"/>
              <w:rPr>
                <w:rFonts w:cs="Calibri"/>
                <w:iCs/>
                <w:sz w:val="18"/>
                <w:szCs w:val="18"/>
              </w:rPr>
            </w:pPr>
            <w:r w:rsidRPr="00BB7043">
              <w:rPr>
                <w:rFonts w:cs="Calibri"/>
                <w:iCs/>
                <w:sz w:val="18"/>
                <w:szCs w:val="18"/>
              </w:rPr>
              <w:t>None</w:t>
            </w:r>
          </w:p>
        </w:tc>
        <w:tc>
          <w:tcPr>
            <w:tcW w:w="3284" w:type="dxa"/>
          </w:tcPr>
          <w:p w14:paraId="3233CB17" w14:textId="68032AA9" w:rsidR="002238E6" w:rsidRPr="004870C7" w:rsidRDefault="00D441FB" w:rsidP="0032777B">
            <w:pPr>
              <w:jc w:val="left"/>
              <w:rPr>
                <w:rFonts w:cs="Calibri"/>
                <w:iCs/>
                <w:sz w:val="18"/>
                <w:szCs w:val="18"/>
              </w:rPr>
            </w:pPr>
            <w:r w:rsidRPr="00D441FB">
              <w:rPr>
                <w:rFonts w:cs="Calibri"/>
                <w:iCs/>
                <w:sz w:val="18"/>
                <w:szCs w:val="18"/>
              </w:rPr>
              <w:t>Within one month of inception workshop</w:t>
            </w:r>
          </w:p>
        </w:tc>
      </w:tr>
      <w:tr w:rsidR="002238E6" w:rsidRPr="004870C7" w14:paraId="0E42E2C0" w14:textId="77777777" w:rsidTr="002238E6">
        <w:trPr>
          <w:jc w:val="center"/>
        </w:trPr>
        <w:tc>
          <w:tcPr>
            <w:tcW w:w="3114" w:type="dxa"/>
          </w:tcPr>
          <w:p w14:paraId="77C00F9C" w14:textId="7FAE7D46" w:rsidR="002238E6" w:rsidRPr="004870C7" w:rsidRDefault="002238E6" w:rsidP="0032777B">
            <w:pPr>
              <w:jc w:val="left"/>
              <w:rPr>
                <w:rFonts w:cs="Calibri"/>
                <w:b/>
                <w:sz w:val="18"/>
                <w:szCs w:val="18"/>
              </w:rPr>
            </w:pPr>
            <w:r w:rsidRPr="004870C7">
              <w:rPr>
                <w:rFonts w:cs="Calibri"/>
                <w:b/>
                <w:sz w:val="18"/>
                <w:szCs w:val="18"/>
              </w:rPr>
              <w:t xml:space="preserve">M&amp;E of GEF core indicators and project results framework </w:t>
            </w:r>
          </w:p>
        </w:tc>
        <w:tc>
          <w:tcPr>
            <w:tcW w:w="2410" w:type="dxa"/>
          </w:tcPr>
          <w:p w14:paraId="5D67A26F" w14:textId="06ABED1B" w:rsidR="002238E6" w:rsidRPr="00BB7043" w:rsidRDefault="002238E6" w:rsidP="0032777B">
            <w:pPr>
              <w:pStyle w:val="BodyText23"/>
              <w:widowControl/>
              <w:tabs>
                <w:tab w:val="clear" w:pos="547"/>
              </w:tabs>
              <w:spacing w:after="60"/>
              <w:rPr>
                <w:rFonts w:asciiTheme="minorHAnsi" w:hAnsiTheme="minorHAnsi" w:cstheme="minorHAnsi"/>
                <w:iCs/>
                <w:snapToGrid/>
                <w:sz w:val="18"/>
                <w:szCs w:val="18"/>
              </w:rPr>
            </w:pPr>
            <w:r w:rsidRPr="00BB7043">
              <w:rPr>
                <w:rFonts w:asciiTheme="minorHAnsi" w:hAnsiTheme="minorHAnsi" w:cstheme="minorHAnsi"/>
                <w:iCs/>
                <w:sz w:val="18"/>
                <w:szCs w:val="18"/>
              </w:rPr>
              <w:t>None</w:t>
            </w:r>
          </w:p>
        </w:tc>
        <w:tc>
          <w:tcPr>
            <w:tcW w:w="3284" w:type="dxa"/>
          </w:tcPr>
          <w:p w14:paraId="6BCF642C" w14:textId="76BDD897" w:rsidR="002238E6" w:rsidRPr="004870C7" w:rsidRDefault="002238E6" w:rsidP="0032777B">
            <w:pPr>
              <w:jc w:val="left"/>
              <w:rPr>
                <w:rFonts w:cs="Calibri"/>
                <w:iCs/>
                <w:sz w:val="18"/>
                <w:szCs w:val="18"/>
              </w:rPr>
            </w:pPr>
            <w:r w:rsidRPr="004870C7">
              <w:rPr>
                <w:rFonts w:cs="Calibri"/>
                <w:iCs/>
                <w:sz w:val="18"/>
                <w:szCs w:val="18"/>
              </w:rPr>
              <w:t>Annually and at mid-point and closure.</w:t>
            </w:r>
          </w:p>
        </w:tc>
      </w:tr>
      <w:tr w:rsidR="002238E6" w:rsidRPr="004870C7" w14:paraId="3853889C" w14:textId="77777777" w:rsidTr="002238E6">
        <w:trPr>
          <w:trHeight w:val="305"/>
          <w:jc w:val="center"/>
        </w:trPr>
        <w:tc>
          <w:tcPr>
            <w:tcW w:w="3114" w:type="dxa"/>
          </w:tcPr>
          <w:p w14:paraId="55150746" w14:textId="77777777" w:rsidR="002238E6" w:rsidRPr="004870C7" w:rsidRDefault="002238E6" w:rsidP="0032777B">
            <w:pPr>
              <w:jc w:val="left"/>
              <w:rPr>
                <w:rFonts w:cs="Calibri"/>
                <w:b/>
                <w:sz w:val="18"/>
                <w:szCs w:val="18"/>
              </w:rPr>
            </w:pPr>
            <w:r w:rsidRPr="004870C7">
              <w:rPr>
                <w:rFonts w:cs="Calibri"/>
                <w:b/>
                <w:sz w:val="18"/>
                <w:szCs w:val="18"/>
              </w:rPr>
              <w:t>Supervision missions</w:t>
            </w:r>
          </w:p>
        </w:tc>
        <w:tc>
          <w:tcPr>
            <w:tcW w:w="2410" w:type="dxa"/>
          </w:tcPr>
          <w:p w14:paraId="79599E02" w14:textId="77777777" w:rsidR="002238E6" w:rsidRPr="00BB7043" w:rsidRDefault="002238E6" w:rsidP="0032777B">
            <w:pPr>
              <w:pStyle w:val="BodyText23"/>
              <w:widowControl/>
              <w:tabs>
                <w:tab w:val="clear" w:pos="547"/>
              </w:tabs>
              <w:spacing w:after="60"/>
              <w:rPr>
                <w:rFonts w:ascii="Calibri" w:hAnsi="Calibri" w:cs="Calibri"/>
                <w:iCs/>
                <w:snapToGrid/>
                <w:sz w:val="18"/>
                <w:szCs w:val="18"/>
              </w:rPr>
            </w:pPr>
            <w:r w:rsidRPr="00BB7043">
              <w:rPr>
                <w:rFonts w:ascii="Calibri" w:hAnsi="Calibri" w:cs="Calibri"/>
                <w:iCs/>
                <w:snapToGrid/>
                <w:sz w:val="18"/>
                <w:szCs w:val="18"/>
              </w:rPr>
              <w:t>None</w:t>
            </w:r>
          </w:p>
        </w:tc>
        <w:tc>
          <w:tcPr>
            <w:tcW w:w="3284" w:type="dxa"/>
          </w:tcPr>
          <w:p w14:paraId="7E0F9EFF" w14:textId="77777777" w:rsidR="002238E6" w:rsidRPr="004870C7" w:rsidRDefault="002238E6" w:rsidP="0032777B">
            <w:pPr>
              <w:jc w:val="left"/>
              <w:rPr>
                <w:rFonts w:cs="Calibri"/>
                <w:iCs/>
                <w:sz w:val="18"/>
                <w:szCs w:val="18"/>
              </w:rPr>
            </w:pPr>
            <w:r w:rsidRPr="004870C7">
              <w:rPr>
                <w:rFonts w:cs="Calibri"/>
                <w:iCs/>
                <w:sz w:val="18"/>
                <w:szCs w:val="18"/>
              </w:rPr>
              <w:t>Annually</w:t>
            </w:r>
          </w:p>
        </w:tc>
      </w:tr>
      <w:tr w:rsidR="002238E6" w:rsidRPr="004870C7" w14:paraId="468F8870" w14:textId="77777777" w:rsidTr="002238E6">
        <w:trPr>
          <w:jc w:val="center"/>
        </w:trPr>
        <w:tc>
          <w:tcPr>
            <w:tcW w:w="3114" w:type="dxa"/>
          </w:tcPr>
          <w:p w14:paraId="7141A2D4" w14:textId="77777777" w:rsidR="002238E6" w:rsidRPr="004870C7" w:rsidRDefault="002238E6" w:rsidP="0032777B">
            <w:pPr>
              <w:jc w:val="left"/>
              <w:rPr>
                <w:rFonts w:cs="Calibri"/>
                <w:b/>
                <w:sz w:val="18"/>
                <w:szCs w:val="18"/>
              </w:rPr>
            </w:pPr>
            <w:r w:rsidRPr="004870C7">
              <w:rPr>
                <w:rFonts w:cs="Calibri"/>
                <w:b/>
                <w:sz w:val="18"/>
                <w:szCs w:val="18"/>
              </w:rPr>
              <w:t>Project Terminal Report (End of project report)</w:t>
            </w:r>
          </w:p>
        </w:tc>
        <w:tc>
          <w:tcPr>
            <w:tcW w:w="2410" w:type="dxa"/>
          </w:tcPr>
          <w:p w14:paraId="5B661F5F" w14:textId="289D9DDA" w:rsidR="002238E6" w:rsidRPr="00BB7043" w:rsidRDefault="002238E6" w:rsidP="0032777B">
            <w:pPr>
              <w:tabs>
                <w:tab w:val="center" w:pos="1216"/>
              </w:tabs>
              <w:jc w:val="left"/>
              <w:rPr>
                <w:rFonts w:cs="Calibri"/>
                <w:iCs/>
                <w:sz w:val="18"/>
                <w:szCs w:val="18"/>
              </w:rPr>
            </w:pPr>
            <w:r w:rsidRPr="00BB7043">
              <w:rPr>
                <w:rFonts w:cs="Calibri"/>
                <w:iCs/>
                <w:sz w:val="18"/>
                <w:szCs w:val="18"/>
              </w:rPr>
              <w:t>None</w:t>
            </w:r>
          </w:p>
        </w:tc>
        <w:tc>
          <w:tcPr>
            <w:tcW w:w="3284" w:type="dxa"/>
          </w:tcPr>
          <w:p w14:paraId="4218A570" w14:textId="66200DE7" w:rsidR="002238E6" w:rsidRPr="004870C7" w:rsidRDefault="002238E6" w:rsidP="00FB54F0">
            <w:pPr>
              <w:jc w:val="left"/>
              <w:rPr>
                <w:rFonts w:cs="Calibri"/>
                <w:iCs/>
                <w:sz w:val="18"/>
                <w:szCs w:val="18"/>
              </w:rPr>
            </w:pPr>
            <w:r w:rsidRPr="004870C7">
              <w:rPr>
                <w:rFonts w:cs="Calibri"/>
                <w:iCs/>
                <w:sz w:val="18"/>
                <w:szCs w:val="18"/>
              </w:rPr>
              <w:t>At least three months before the end of the project</w:t>
            </w:r>
          </w:p>
        </w:tc>
      </w:tr>
      <w:tr w:rsidR="00765CEA" w:rsidRPr="004870C7" w14:paraId="31CC4F4F" w14:textId="77777777" w:rsidTr="002238E6">
        <w:trPr>
          <w:cantSplit/>
          <w:trHeight w:val="710"/>
          <w:jc w:val="center"/>
        </w:trPr>
        <w:tc>
          <w:tcPr>
            <w:tcW w:w="3114" w:type="dxa"/>
            <w:shd w:val="clear" w:color="auto" w:fill="E6E6E6"/>
          </w:tcPr>
          <w:p w14:paraId="48DA0992" w14:textId="6D42D624" w:rsidR="00765CEA" w:rsidRPr="004870C7" w:rsidRDefault="00765CEA" w:rsidP="004E703E">
            <w:pPr>
              <w:jc w:val="left"/>
              <w:rPr>
                <w:rFonts w:cs="Calibri"/>
                <w:b/>
                <w:sz w:val="18"/>
                <w:szCs w:val="18"/>
              </w:rPr>
            </w:pPr>
            <w:r w:rsidRPr="004870C7">
              <w:rPr>
                <w:rFonts w:cs="Calibri"/>
                <w:b/>
                <w:sz w:val="18"/>
                <w:szCs w:val="18"/>
              </w:rPr>
              <w:t xml:space="preserve">TOTAL indicative COST </w:t>
            </w:r>
          </w:p>
        </w:tc>
        <w:tc>
          <w:tcPr>
            <w:tcW w:w="2410" w:type="dxa"/>
            <w:shd w:val="clear" w:color="auto" w:fill="E6E6E6"/>
          </w:tcPr>
          <w:p w14:paraId="6FADF7DC" w14:textId="0DD1FF85" w:rsidR="00765CEA" w:rsidRPr="00BB7043" w:rsidRDefault="00765CEA" w:rsidP="0032777B">
            <w:pPr>
              <w:jc w:val="left"/>
              <w:rPr>
                <w:rFonts w:cs="Calibri"/>
                <w:i/>
                <w:sz w:val="18"/>
                <w:szCs w:val="18"/>
              </w:rPr>
            </w:pPr>
            <w:r w:rsidRPr="00BB7043">
              <w:rPr>
                <w:rFonts w:cs="Calibri"/>
                <w:i/>
                <w:sz w:val="18"/>
                <w:szCs w:val="18"/>
              </w:rPr>
              <w:t xml:space="preserve"> </w:t>
            </w:r>
            <w:r w:rsidR="001B6A53">
              <w:rPr>
                <w:rFonts w:cs="Calibri"/>
                <w:i/>
                <w:sz w:val="18"/>
                <w:szCs w:val="18"/>
              </w:rPr>
              <w:t>3,000</w:t>
            </w:r>
          </w:p>
        </w:tc>
        <w:tc>
          <w:tcPr>
            <w:tcW w:w="3284" w:type="dxa"/>
            <w:shd w:val="clear" w:color="auto" w:fill="E6E6E6"/>
          </w:tcPr>
          <w:p w14:paraId="000A9A41" w14:textId="4BD4CD20" w:rsidR="00765CEA" w:rsidRPr="004870C7" w:rsidRDefault="00765CEA" w:rsidP="0032777B">
            <w:pPr>
              <w:jc w:val="left"/>
              <w:rPr>
                <w:rFonts w:cs="Calibri"/>
                <w:i/>
                <w:sz w:val="18"/>
                <w:szCs w:val="18"/>
                <w:highlight w:val="yellow"/>
              </w:rPr>
            </w:pPr>
          </w:p>
        </w:tc>
      </w:tr>
    </w:tbl>
    <w:p w14:paraId="27C9686A" w14:textId="6F26BC60" w:rsidR="00E9267A" w:rsidRDefault="00E9267A" w:rsidP="001354E3">
      <w:pPr>
        <w:jc w:val="left"/>
        <w:rPr>
          <w:rFonts w:cs="Arial"/>
          <w:b/>
          <w:bCs/>
          <w:szCs w:val="20"/>
        </w:rPr>
      </w:pPr>
    </w:p>
    <w:p w14:paraId="3C159D2C" w14:textId="77777777" w:rsidR="00E9267A" w:rsidRDefault="00E9267A">
      <w:pPr>
        <w:spacing w:after="0"/>
        <w:jc w:val="left"/>
        <w:rPr>
          <w:rFonts w:cs="Arial"/>
          <w:b/>
          <w:bCs/>
          <w:szCs w:val="20"/>
        </w:rPr>
      </w:pPr>
      <w:r>
        <w:rPr>
          <w:rFonts w:cs="Arial"/>
          <w:b/>
          <w:bCs/>
          <w:szCs w:val="20"/>
        </w:rPr>
        <w:br w:type="page"/>
      </w:r>
    </w:p>
    <w:p w14:paraId="33E17C61" w14:textId="77777777" w:rsidR="003E3ABA" w:rsidRPr="004870C7" w:rsidRDefault="003E3ABA" w:rsidP="001354E3">
      <w:pPr>
        <w:pStyle w:val="Heading1"/>
        <w:spacing w:before="0" w:after="0"/>
        <w:jc w:val="left"/>
        <w:rPr>
          <w:rFonts w:ascii="Calibri" w:hAnsi="Calibri"/>
        </w:rPr>
      </w:pPr>
      <w:bookmarkStart w:id="18" w:name="_Toc75965551"/>
      <w:r w:rsidRPr="004870C7">
        <w:rPr>
          <w:rFonts w:ascii="Calibri" w:hAnsi="Calibri"/>
        </w:rPr>
        <w:lastRenderedPageBreak/>
        <w:t>Governance and Management Arrangements</w:t>
      </w:r>
      <w:bookmarkEnd w:id="18"/>
      <w:r w:rsidRPr="004870C7">
        <w:rPr>
          <w:rFonts w:ascii="Calibri" w:hAnsi="Calibri"/>
        </w:rPr>
        <w:t xml:space="preserve"> </w:t>
      </w:r>
    </w:p>
    <w:p w14:paraId="6C6D7239" w14:textId="77777777" w:rsidR="00A04E6F" w:rsidRPr="004870C7" w:rsidRDefault="00A04E6F" w:rsidP="001354E3">
      <w:pPr>
        <w:spacing w:after="0"/>
        <w:jc w:val="left"/>
        <w:rPr>
          <w:rFonts w:cs="Arial"/>
          <w:b/>
          <w:i/>
          <w:szCs w:val="20"/>
          <w:lang w:eastAsia="zh-CN"/>
        </w:rPr>
      </w:pPr>
    </w:p>
    <w:p w14:paraId="63C9ACB7" w14:textId="77777777" w:rsidR="00CA6B69" w:rsidRPr="004870C7" w:rsidRDefault="00CA6B69" w:rsidP="00ED7D36">
      <w:pPr>
        <w:spacing w:after="0"/>
        <w:rPr>
          <w:rFonts w:cs="Arial"/>
          <w:b/>
          <w:szCs w:val="20"/>
          <w:lang w:eastAsia="zh-CN"/>
        </w:rPr>
      </w:pPr>
    </w:p>
    <w:p w14:paraId="2CA8BEB4" w14:textId="548A96D8" w:rsidR="002C5D13" w:rsidRPr="004870C7" w:rsidRDefault="002C5D13" w:rsidP="00C80734">
      <w:pPr>
        <w:spacing w:after="0"/>
        <w:rPr>
          <w:rFonts w:cs="Arial"/>
          <w:b/>
          <w:szCs w:val="20"/>
        </w:rPr>
      </w:pPr>
      <w:r w:rsidRPr="004870C7">
        <w:rPr>
          <w:rFonts w:cs="Arial"/>
          <w:b/>
          <w:szCs w:val="20"/>
          <w:lang w:eastAsia="zh-CN"/>
        </w:rPr>
        <w:t xml:space="preserve">Roles and responsibilities of the project’s governance mechanism: </w:t>
      </w:r>
    </w:p>
    <w:p w14:paraId="60A8D9E0" w14:textId="77777777" w:rsidR="000C4672" w:rsidRPr="004870C7" w:rsidRDefault="000C4672" w:rsidP="00C80734">
      <w:pPr>
        <w:spacing w:after="0"/>
        <w:rPr>
          <w:rFonts w:cs="Arial"/>
          <w:szCs w:val="20"/>
          <w:lang w:eastAsia="zh-CN"/>
        </w:rPr>
      </w:pPr>
    </w:p>
    <w:p w14:paraId="48BB48FB" w14:textId="617CE884" w:rsidR="00AD6929" w:rsidRPr="004870C7" w:rsidRDefault="000C4672" w:rsidP="00C80734">
      <w:pPr>
        <w:spacing w:after="0"/>
        <w:rPr>
          <w:rFonts w:cs="Arial"/>
          <w:i/>
          <w:szCs w:val="20"/>
          <w:lang w:eastAsia="zh-CN"/>
        </w:rPr>
      </w:pPr>
      <w:r w:rsidRPr="004870C7">
        <w:rPr>
          <w:rFonts w:cs="Arial"/>
          <w:szCs w:val="20"/>
          <w:u w:val="single"/>
          <w:lang w:eastAsia="zh-CN"/>
        </w:rPr>
        <w:t>Implementing Partner</w:t>
      </w:r>
      <w:r w:rsidRPr="004870C7">
        <w:rPr>
          <w:rFonts w:cs="Arial"/>
          <w:szCs w:val="20"/>
          <w:lang w:eastAsia="zh-CN"/>
        </w:rPr>
        <w:t xml:space="preserve">: </w:t>
      </w:r>
      <w:r w:rsidR="002C5D13" w:rsidRPr="004870C7">
        <w:rPr>
          <w:rFonts w:cs="Arial"/>
          <w:szCs w:val="20"/>
          <w:lang w:eastAsia="zh-CN"/>
        </w:rPr>
        <w:t>The Implementing Partner for this project is</w:t>
      </w:r>
      <w:r w:rsidR="00A23D5D" w:rsidRPr="004870C7">
        <w:rPr>
          <w:rFonts w:cs="Arial"/>
          <w:szCs w:val="20"/>
          <w:lang w:eastAsia="zh-CN"/>
        </w:rPr>
        <w:t xml:space="preserve"> </w:t>
      </w:r>
      <w:r w:rsidR="005C5B75" w:rsidRPr="004870C7">
        <w:rPr>
          <w:rFonts w:cs="Arial"/>
          <w:szCs w:val="20"/>
          <w:lang w:eastAsia="zh-CN"/>
        </w:rPr>
        <w:t>Ministry of Ecology, Spatial Planning and Urbanism</w:t>
      </w:r>
      <w:r w:rsidR="00A23D5D" w:rsidRPr="004870C7">
        <w:rPr>
          <w:rFonts w:cs="Arial"/>
          <w:szCs w:val="20"/>
          <w:lang w:eastAsia="zh-CN"/>
        </w:rPr>
        <w:t>.</w:t>
      </w:r>
      <w:r w:rsidR="002C5D13" w:rsidRPr="004870C7">
        <w:rPr>
          <w:rFonts w:cs="Arial"/>
          <w:szCs w:val="20"/>
          <w:lang w:eastAsia="zh-CN"/>
        </w:rPr>
        <w:t xml:space="preserve"> </w:t>
      </w:r>
    </w:p>
    <w:p w14:paraId="3BFF1985" w14:textId="4482E7B8" w:rsidR="00620FB1" w:rsidRPr="004870C7" w:rsidRDefault="00620FB1" w:rsidP="00C80734">
      <w:pPr>
        <w:spacing w:after="0"/>
        <w:rPr>
          <w:rFonts w:cs="Arial"/>
          <w:i/>
          <w:szCs w:val="20"/>
          <w:lang w:eastAsia="zh-CN"/>
        </w:rPr>
      </w:pPr>
    </w:p>
    <w:p w14:paraId="1179F845" w14:textId="77777777" w:rsidR="00562B53" w:rsidRPr="004870C7" w:rsidRDefault="002C5D13" w:rsidP="00C80734">
      <w:pPr>
        <w:spacing w:after="0"/>
        <w:rPr>
          <w:rFonts w:cs="Arial"/>
          <w:szCs w:val="20"/>
          <w:lang w:eastAsia="zh-CN"/>
        </w:rPr>
      </w:pPr>
      <w:r w:rsidRPr="004870C7">
        <w:rPr>
          <w:rFonts w:cs="Arial"/>
          <w:szCs w:val="20"/>
          <w:lang w:eastAsia="zh-CN"/>
        </w:rPr>
        <w:t xml:space="preserve">The Implementing Partner is </w:t>
      </w:r>
      <w:r w:rsidR="00562B53" w:rsidRPr="004870C7">
        <w:rPr>
          <w:rFonts w:cs="Arial"/>
          <w:szCs w:val="20"/>
          <w:lang w:eastAsia="zh-CN"/>
        </w:rPr>
        <w:t>the entity to which the UNDP Administrator has entrusted the implementation of UNDP assistance specified in this signed project document along with the assumption of full responsibility and accountability for the effective use of UNDP resources and the delivery of outputs, as set forth in this document.</w:t>
      </w:r>
    </w:p>
    <w:p w14:paraId="0F361C67" w14:textId="77777777" w:rsidR="001077D3" w:rsidRPr="004870C7" w:rsidRDefault="001077D3" w:rsidP="00C80734">
      <w:pPr>
        <w:spacing w:after="0"/>
        <w:rPr>
          <w:rFonts w:cs="Arial"/>
          <w:szCs w:val="20"/>
          <w:lang w:eastAsia="zh-CN"/>
        </w:rPr>
      </w:pPr>
    </w:p>
    <w:p w14:paraId="29EC4AC6" w14:textId="77777777" w:rsidR="002C5D13" w:rsidRPr="004870C7" w:rsidRDefault="002C5D13" w:rsidP="00C80734">
      <w:pPr>
        <w:spacing w:after="0"/>
        <w:rPr>
          <w:rFonts w:cs="Arial"/>
          <w:szCs w:val="20"/>
          <w:lang w:eastAsia="zh-CN"/>
        </w:rPr>
      </w:pPr>
      <w:r w:rsidRPr="004870C7">
        <w:rPr>
          <w:rFonts w:cs="Arial"/>
          <w:szCs w:val="20"/>
          <w:lang w:eastAsia="zh-CN"/>
        </w:rPr>
        <w:t>The Implementing Partner is responsible for</w:t>
      </w:r>
      <w:r w:rsidR="00F1544F" w:rsidRPr="004870C7">
        <w:rPr>
          <w:rFonts w:cs="Arial"/>
          <w:szCs w:val="20"/>
          <w:lang w:eastAsia="zh-CN"/>
        </w:rPr>
        <w:t xml:space="preserve"> executing this project</w:t>
      </w:r>
      <w:r w:rsidR="00514928" w:rsidRPr="004870C7">
        <w:rPr>
          <w:rFonts w:cs="Arial"/>
          <w:szCs w:val="20"/>
          <w:lang w:eastAsia="zh-CN"/>
        </w:rPr>
        <w:t>. Specific tasks include</w:t>
      </w:r>
      <w:r w:rsidRPr="004870C7">
        <w:rPr>
          <w:rFonts w:cs="Arial"/>
          <w:szCs w:val="20"/>
          <w:lang w:eastAsia="zh-CN"/>
        </w:rPr>
        <w:t>:</w:t>
      </w:r>
    </w:p>
    <w:p w14:paraId="68FD5FF9" w14:textId="77777777" w:rsidR="00354950" w:rsidRPr="004870C7" w:rsidRDefault="00AD6929" w:rsidP="00C80734">
      <w:pPr>
        <w:numPr>
          <w:ilvl w:val="0"/>
          <w:numId w:val="16"/>
        </w:numPr>
        <w:spacing w:after="0"/>
        <w:rPr>
          <w:rFonts w:cs="Calibri"/>
          <w:szCs w:val="20"/>
        </w:rPr>
      </w:pPr>
      <w:r w:rsidRPr="004870C7">
        <w:rPr>
          <w:szCs w:val="20"/>
        </w:rPr>
        <w:t>Project planning, coordination, management, monitoring</w:t>
      </w:r>
      <w:r w:rsidR="007E56BC" w:rsidRPr="004870C7">
        <w:rPr>
          <w:szCs w:val="20"/>
        </w:rPr>
        <w:t>, evaluation</w:t>
      </w:r>
      <w:r w:rsidRPr="004870C7">
        <w:rPr>
          <w:szCs w:val="20"/>
        </w:rPr>
        <w:t xml:space="preserve"> and reporting</w:t>
      </w:r>
      <w:r w:rsidR="002C72D1" w:rsidRPr="004870C7">
        <w:rPr>
          <w:szCs w:val="20"/>
        </w:rPr>
        <w:t xml:space="preserve">.  This </w:t>
      </w:r>
      <w:r w:rsidR="00354950" w:rsidRPr="004870C7">
        <w:rPr>
          <w:szCs w:val="20"/>
        </w:rPr>
        <w:t xml:space="preserve">includes </w:t>
      </w:r>
      <w:r w:rsidR="00354950" w:rsidRPr="004870C7">
        <w:rPr>
          <w:rFonts w:cs="Calibri"/>
          <w:szCs w:val="20"/>
        </w:rPr>
        <w:t xml:space="preserve">providing all required information and data necessary for timely, comprehensive and evidence-based project reporting, including results and financial data, as necessary. The Implementing Partner will strive to ensure project-level M&amp;E is undertaken by national </w:t>
      </w:r>
      <w:r w:rsidR="00562B53" w:rsidRPr="004870C7">
        <w:rPr>
          <w:rFonts w:cs="Calibri"/>
          <w:szCs w:val="20"/>
        </w:rPr>
        <w:t>institutes and</w:t>
      </w:r>
      <w:r w:rsidR="00354950" w:rsidRPr="004870C7">
        <w:rPr>
          <w:rFonts w:cs="Calibri"/>
          <w:szCs w:val="20"/>
        </w:rPr>
        <w:t xml:space="preserve"> is aligned with national systems so that the data used and generated by the project supports national systems. </w:t>
      </w:r>
    </w:p>
    <w:p w14:paraId="5B57CFB0" w14:textId="2CA9CFDA" w:rsidR="00CF10D8" w:rsidRPr="004870C7" w:rsidRDefault="00CF10D8" w:rsidP="00C80734">
      <w:pPr>
        <w:pStyle w:val="ListParagraph"/>
        <w:numPr>
          <w:ilvl w:val="0"/>
          <w:numId w:val="16"/>
        </w:numPr>
        <w:jc w:val="both"/>
        <w:rPr>
          <w:rFonts w:ascii="Calibri" w:hAnsi="Calibri"/>
          <w:sz w:val="20"/>
          <w:szCs w:val="20"/>
        </w:rPr>
      </w:pPr>
      <w:r w:rsidRPr="004870C7">
        <w:rPr>
          <w:rFonts w:ascii="Calibri" w:hAnsi="Calibri"/>
          <w:sz w:val="20"/>
          <w:szCs w:val="20"/>
        </w:rPr>
        <w:t>Risk management as outlined in this Project Document</w:t>
      </w:r>
      <w:r w:rsidR="00F76C7D" w:rsidRPr="004870C7">
        <w:rPr>
          <w:rFonts w:ascii="Calibri" w:hAnsi="Calibri"/>
          <w:sz w:val="20"/>
          <w:szCs w:val="20"/>
        </w:rPr>
        <w:t>.</w:t>
      </w:r>
    </w:p>
    <w:p w14:paraId="52C772EB" w14:textId="1C67E3D9" w:rsidR="00AD6929" w:rsidRPr="004870C7" w:rsidRDefault="00AD6929" w:rsidP="00C80734">
      <w:pPr>
        <w:pStyle w:val="ListParagraph"/>
        <w:numPr>
          <w:ilvl w:val="0"/>
          <w:numId w:val="16"/>
        </w:numPr>
        <w:jc w:val="both"/>
        <w:rPr>
          <w:rFonts w:ascii="Calibri" w:hAnsi="Calibri"/>
          <w:sz w:val="20"/>
          <w:szCs w:val="20"/>
        </w:rPr>
      </w:pPr>
      <w:r w:rsidRPr="004870C7">
        <w:rPr>
          <w:rFonts w:ascii="Calibri" w:hAnsi="Calibri"/>
          <w:sz w:val="20"/>
          <w:szCs w:val="20"/>
        </w:rPr>
        <w:t>Procurement of goods and services, including human resources</w:t>
      </w:r>
      <w:r w:rsidR="00F76C7D" w:rsidRPr="004870C7">
        <w:rPr>
          <w:rFonts w:ascii="Calibri" w:hAnsi="Calibri"/>
          <w:sz w:val="20"/>
          <w:szCs w:val="20"/>
        </w:rPr>
        <w:t>.</w:t>
      </w:r>
    </w:p>
    <w:p w14:paraId="4890955C" w14:textId="123FAA5C" w:rsidR="00AD6929" w:rsidRPr="004870C7" w:rsidRDefault="00AD6929" w:rsidP="00C80734">
      <w:pPr>
        <w:pStyle w:val="ListParagraph"/>
        <w:numPr>
          <w:ilvl w:val="0"/>
          <w:numId w:val="16"/>
        </w:numPr>
        <w:jc w:val="both"/>
        <w:rPr>
          <w:rFonts w:ascii="Calibri" w:hAnsi="Calibri"/>
          <w:sz w:val="20"/>
          <w:szCs w:val="20"/>
        </w:rPr>
      </w:pPr>
      <w:r w:rsidRPr="004870C7">
        <w:rPr>
          <w:rFonts w:ascii="Calibri" w:hAnsi="Calibri"/>
          <w:sz w:val="20"/>
          <w:szCs w:val="20"/>
        </w:rPr>
        <w:t xml:space="preserve">Financial management, </w:t>
      </w:r>
      <w:r w:rsidR="001540FE" w:rsidRPr="004870C7">
        <w:rPr>
          <w:rFonts w:ascii="Calibri" w:hAnsi="Calibri"/>
          <w:sz w:val="20"/>
          <w:szCs w:val="20"/>
        </w:rPr>
        <w:t>including overseeing financial expenditures against project budgets</w:t>
      </w:r>
      <w:r w:rsidR="00F76C7D" w:rsidRPr="004870C7">
        <w:rPr>
          <w:rFonts w:ascii="Calibri" w:hAnsi="Calibri"/>
          <w:sz w:val="20"/>
          <w:szCs w:val="20"/>
        </w:rPr>
        <w:t>.</w:t>
      </w:r>
    </w:p>
    <w:p w14:paraId="6DBECB27" w14:textId="0E4A1CFF" w:rsidR="002C5D13" w:rsidRPr="004870C7" w:rsidRDefault="002C5D13" w:rsidP="00C80734">
      <w:pPr>
        <w:pStyle w:val="ListParagraph"/>
        <w:numPr>
          <w:ilvl w:val="0"/>
          <w:numId w:val="16"/>
        </w:numPr>
        <w:jc w:val="both"/>
        <w:rPr>
          <w:rFonts w:ascii="Calibri" w:hAnsi="Calibri"/>
          <w:sz w:val="20"/>
          <w:szCs w:val="20"/>
        </w:rPr>
      </w:pPr>
      <w:r w:rsidRPr="004870C7">
        <w:rPr>
          <w:rFonts w:ascii="Calibri" w:hAnsi="Calibri"/>
          <w:sz w:val="20"/>
          <w:szCs w:val="20"/>
        </w:rPr>
        <w:t>Approving and signing the multiyear workplan</w:t>
      </w:r>
      <w:r w:rsidR="00F76C7D" w:rsidRPr="004870C7">
        <w:rPr>
          <w:rFonts w:ascii="Calibri" w:hAnsi="Calibri"/>
          <w:sz w:val="20"/>
          <w:szCs w:val="20"/>
        </w:rPr>
        <w:t>.</w:t>
      </w:r>
    </w:p>
    <w:p w14:paraId="4B84841D" w14:textId="5D3F52AE" w:rsidR="002C5D13" w:rsidRPr="004870C7" w:rsidRDefault="002C5D13" w:rsidP="00C80734">
      <w:pPr>
        <w:pStyle w:val="ListParagraph"/>
        <w:numPr>
          <w:ilvl w:val="0"/>
          <w:numId w:val="16"/>
        </w:numPr>
        <w:jc w:val="both"/>
        <w:rPr>
          <w:rFonts w:ascii="Calibri" w:hAnsi="Calibri"/>
          <w:sz w:val="20"/>
          <w:szCs w:val="20"/>
        </w:rPr>
      </w:pPr>
      <w:r w:rsidRPr="004870C7">
        <w:rPr>
          <w:rFonts w:ascii="Calibri" w:hAnsi="Calibri"/>
          <w:sz w:val="20"/>
          <w:szCs w:val="20"/>
        </w:rPr>
        <w:t>Approving and signing the combined delivery report at the end of the year and</w:t>
      </w:r>
    </w:p>
    <w:p w14:paraId="35CD2A92" w14:textId="77777777" w:rsidR="002C5D13" w:rsidRPr="004870C7" w:rsidRDefault="002C5D13" w:rsidP="00C80734">
      <w:pPr>
        <w:pStyle w:val="ListParagraph"/>
        <w:numPr>
          <w:ilvl w:val="0"/>
          <w:numId w:val="16"/>
        </w:numPr>
        <w:jc w:val="both"/>
        <w:rPr>
          <w:rFonts w:ascii="Calibri" w:hAnsi="Calibri"/>
          <w:sz w:val="20"/>
          <w:szCs w:val="20"/>
        </w:rPr>
      </w:pPr>
      <w:r w:rsidRPr="004870C7">
        <w:rPr>
          <w:rFonts w:ascii="Calibri" w:hAnsi="Calibri"/>
          <w:sz w:val="20"/>
          <w:szCs w:val="20"/>
        </w:rPr>
        <w:t>Signing the financial report or the funding authorization and certificate of expenditures.</w:t>
      </w:r>
    </w:p>
    <w:p w14:paraId="2A49168E" w14:textId="77777777" w:rsidR="00604B1F" w:rsidRPr="004870C7" w:rsidRDefault="00604B1F" w:rsidP="00C80734">
      <w:pPr>
        <w:spacing w:after="0"/>
        <w:rPr>
          <w:rFonts w:cs="Arial"/>
          <w:i/>
          <w:szCs w:val="20"/>
          <w:lang w:eastAsia="zh-CN"/>
        </w:rPr>
      </w:pPr>
    </w:p>
    <w:p w14:paraId="30B22BD8" w14:textId="069B6E83" w:rsidR="00F76C7D" w:rsidRPr="004870C7" w:rsidRDefault="006312F3" w:rsidP="00C80734">
      <w:pPr>
        <w:spacing w:after="0"/>
        <w:rPr>
          <w:szCs w:val="20"/>
        </w:rPr>
      </w:pPr>
      <w:r w:rsidRPr="004870C7">
        <w:rPr>
          <w:szCs w:val="20"/>
          <w:u w:val="single"/>
        </w:rPr>
        <w:t>P</w:t>
      </w:r>
      <w:r w:rsidR="00604B1F" w:rsidRPr="004870C7">
        <w:rPr>
          <w:szCs w:val="20"/>
          <w:u w:val="single"/>
        </w:rPr>
        <w:t xml:space="preserve">roject </w:t>
      </w:r>
      <w:r w:rsidRPr="004870C7">
        <w:rPr>
          <w:szCs w:val="20"/>
          <w:u w:val="single"/>
        </w:rPr>
        <w:t xml:space="preserve">stakeholders and </w:t>
      </w:r>
      <w:r w:rsidR="00604B1F" w:rsidRPr="004870C7">
        <w:rPr>
          <w:szCs w:val="20"/>
          <w:u w:val="single"/>
        </w:rPr>
        <w:t>target groups</w:t>
      </w:r>
      <w:r w:rsidR="00604B1F" w:rsidRPr="004870C7">
        <w:rPr>
          <w:szCs w:val="20"/>
        </w:rPr>
        <w:t xml:space="preserve">:  </w:t>
      </w:r>
      <w:r w:rsidR="00F76C7D" w:rsidRPr="004870C7">
        <w:rPr>
          <w:szCs w:val="20"/>
        </w:rPr>
        <w:t>Major project stakeholders will be included in the Project Management Board. Those are: Environment Protection Agency, Ministry of Capital Investments, State Statistical Office and Institute for Hydrometeorology and Seismology.</w:t>
      </w:r>
    </w:p>
    <w:p w14:paraId="6798F1BE" w14:textId="6CA929B6" w:rsidR="00F76C7D" w:rsidRPr="004870C7" w:rsidRDefault="00F76C7D" w:rsidP="00C80734">
      <w:pPr>
        <w:rPr>
          <w:szCs w:val="20"/>
        </w:rPr>
      </w:pPr>
      <w:r w:rsidRPr="004870C7">
        <w:rPr>
          <w:szCs w:val="20"/>
        </w:rPr>
        <w:t xml:space="preserve"> </w:t>
      </w:r>
    </w:p>
    <w:p w14:paraId="2F92C710" w14:textId="56B94A65" w:rsidR="006312F3" w:rsidRPr="004870C7" w:rsidRDefault="006312F3" w:rsidP="00C80734">
      <w:pPr>
        <w:spacing w:after="0"/>
        <w:rPr>
          <w:szCs w:val="20"/>
        </w:rPr>
      </w:pPr>
      <w:r w:rsidRPr="004870C7">
        <w:rPr>
          <w:szCs w:val="20"/>
          <w:u w:val="single"/>
        </w:rPr>
        <w:t>UNDP:</w:t>
      </w:r>
      <w:r w:rsidRPr="004870C7">
        <w:rPr>
          <w:szCs w:val="20"/>
        </w:rPr>
        <w:t xml:space="preserve"> UNDP is accountable to the GEF for the implementation of this project. This includes oversight of project execution to ensure that the project is being carried out in accordance with agreed standards and provisions. UNDP is responsible for delivering GEF project cycle management services comprising project approval and start-up, project supervision and oversight, and project completion and evaluation. UNDP is </w:t>
      </w:r>
      <w:r w:rsidR="00587ED4" w:rsidRPr="004870C7">
        <w:rPr>
          <w:szCs w:val="20"/>
        </w:rPr>
        <w:t xml:space="preserve">also </w:t>
      </w:r>
      <w:r w:rsidRPr="004870C7">
        <w:rPr>
          <w:szCs w:val="20"/>
        </w:rPr>
        <w:t xml:space="preserve">responsible for the Project Assurance role of the Project Board/Steering Committee.  </w:t>
      </w:r>
    </w:p>
    <w:p w14:paraId="5EBDCDAE" w14:textId="77777777" w:rsidR="006312F3" w:rsidRPr="004870C7" w:rsidRDefault="006312F3" w:rsidP="00C80734">
      <w:pPr>
        <w:spacing w:after="0"/>
        <w:rPr>
          <w:i/>
          <w:szCs w:val="20"/>
          <w:highlight w:val="yellow"/>
        </w:rPr>
      </w:pPr>
    </w:p>
    <w:p w14:paraId="4723F3A4" w14:textId="570EFB13" w:rsidR="002C5D13" w:rsidRPr="004870C7" w:rsidRDefault="0042237F" w:rsidP="00C80734">
      <w:pPr>
        <w:spacing w:after="0"/>
        <w:rPr>
          <w:rFonts w:cs="Arial"/>
          <w:szCs w:val="20"/>
          <w:u w:val="single"/>
          <w:lang w:eastAsia="zh-CN"/>
        </w:rPr>
      </w:pPr>
      <w:r w:rsidRPr="004870C7">
        <w:rPr>
          <w:rFonts w:cs="Arial"/>
          <w:szCs w:val="20"/>
          <w:u w:val="single"/>
          <w:lang w:eastAsia="zh-CN"/>
        </w:rPr>
        <w:t>Proj</w:t>
      </w:r>
      <w:r w:rsidR="002C5D13" w:rsidRPr="004870C7">
        <w:rPr>
          <w:rFonts w:cs="Arial"/>
          <w:szCs w:val="20"/>
          <w:u w:val="single"/>
          <w:lang w:eastAsia="zh-CN"/>
        </w:rPr>
        <w:t>ect organisation structure</w:t>
      </w:r>
      <w:r w:rsidRPr="004870C7">
        <w:rPr>
          <w:rFonts w:cs="Arial"/>
          <w:szCs w:val="20"/>
          <w:u w:val="single"/>
          <w:lang w:eastAsia="zh-CN"/>
        </w:rPr>
        <w:t>:</w:t>
      </w:r>
    </w:p>
    <w:p w14:paraId="4946AFB2" w14:textId="77777777" w:rsidR="002C5D13" w:rsidRPr="004870C7" w:rsidRDefault="002C5D13" w:rsidP="00C80734">
      <w:pPr>
        <w:spacing w:after="0"/>
        <w:rPr>
          <w:rFonts w:cs="Arial"/>
          <w:szCs w:val="20"/>
          <w:lang w:eastAsia="zh-CN"/>
        </w:rPr>
      </w:pPr>
    </w:p>
    <w:p w14:paraId="37CF26B1" w14:textId="77777777" w:rsidR="002C5D13" w:rsidRPr="004870C7" w:rsidRDefault="000C4354" w:rsidP="002C5D13">
      <w:pPr>
        <w:shd w:val="clear" w:color="auto" w:fill="FFFFFF"/>
        <w:spacing w:after="0"/>
        <w:jc w:val="left"/>
        <w:textAlignment w:val="top"/>
        <w:rPr>
          <w:rFonts w:cs="Arial"/>
          <w:i/>
          <w:szCs w:val="20"/>
          <w:lang w:eastAsia="zh-CN"/>
        </w:rPr>
      </w:pPr>
      <w:r w:rsidRPr="004870C7">
        <w:rPr>
          <w:rFonts w:cs="Arial"/>
          <w:i/>
          <w:noProof/>
          <w:szCs w:val="20"/>
          <w:lang w:eastAsia="zh-CN"/>
        </w:rPr>
        <w:lastRenderedPageBreak/>
        <mc:AlternateContent>
          <mc:Choice Requires="wpc">
            <w:drawing>
              <wp:inline distT="0" distB="0" distL="0" distR="0" wp14:anchorId="45976C58" wp14:editId="7BA764EC">
                <wp:extent cx="5943600" cy="3657600"/>
                <wp:effectExtent l="0" t="0" r="0" b="0"/>
                <wp:docPr id="62"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42"/>
                        <wps:cNvSpPr>
                          <a:spLocks noChangeArrowheads="1"/>
                        </wps:cNvSpPr>
                        <wps:spPr bwMode="auto">
                          <a:xfrm>
                            <a:off x="2171700" y="1832610"/>
                            <a:ext cx="1371600" cy="62103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A97063B" w14:textId="13EB575B" w:rsidR="00FE5C31" w:rsidRDefault="00FE5C31" w:rsidP="002C5D13">
                              <w:pPr>
                                <w:jc w:val="center"/>
                                <w:rPr>
                                  <w:b/>
                                  <w:sz w:val="18"/>
                                  <w:szCs w:val="18"/>
                                </w:rPr>
                              </w:pPr>
                              <w:r>
                                <w:rPr>
                                  <w:b/>
                                  <w:sz w:val="18"/>
                                  <w:szCs w:val="18"/>
                                </w:rPr>
                                <w:t>Implementing Partner</w:t>
                              </w:r>
                              <w:r w:rsidRPr="00A27858">
                                <w:rPr>
                                  <w:b/>
                                  <w:sz w:val="18"/>
                                  <w:szCs w:val="18"/>
                                </w:rPr>
                                <w:t xml:space="preserve"> </w:t>
                              </w:r>
                            </w:p>
                            <w:p w14:paraId="468307A3" w14:textId="0DF74917" w:rsidR="00FE5C31" w:rsidRPr="00A27858" w:rsidRDefault="00FE5C31" w:rsidP="002C5D13">
                              <w:pPr>
                                <w:jc w:val="center"/>
                                <w:rPr>
                                  <w:szCs w:val="20"/>
                                </w:rPr>
                              </w:pPr>
                              <w:r>
                                <w:rPr>
                                  <w:b/>
                                  <w:sz w:val="18"/>
                                  <w:szCs w:val="18"/>
                                </w:rPr>
                                <w:t xml:space="preserve">MESPU - Department for Climate Change </w:t>
                              </w:r>
                            </w:p>
                          </w:txbxContent>
                        </wps:txbx>
                        <wps:bodyPr rot="0" vert="horz" wrap="square" lIns="91440" tIns="45720" rIns="91440" bIns="45720" anchor="t" anchorCtr="0" upright="1">
                          <a:noAutofit/>
                        </wps:bodyPr>
                      </wps:wsp>
                      <wps:wsp>
                        <wps:cNvPr id="2" name="Rectangle 343"/>
                        <wps:cNvSpPr>
                          <a:spLocks noChangeArrowheads="1"/>
                        </wps:cNvSpPr>
                        <wps:spPr bwMode="auto">
                          <a:xfrm>
                            <a:off x="571500" y="571500"/>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0AE3B3B" w14:textId="77777777" w:rsidR="00FE5C31" w:rsidRDefault="00FE5C31" w:rsidP="002C5D13">
                              <w:pPr>
                                <w:jc w:val="center"/>
                                <w:rPr>
                                  <w:b/>
                                </w:rPr>
                              </w:pPr>
                              <w:r>
                                <w:rPr>
                                  <w:b/>
                                </w:rPr>
                                <w:t>Project Board/Steering Committee</w:t>
                              </w:r>
                            </w:p>
                          </w:txbxContent>
                        </wps:txbx>
                        <wps:bodyPr rot="0" vert="horz" wrap="square" lIns="91440" tIns="45720" rIns="91440" bIns="45720" anchor="t" anchorCtr="0" upright="1">
                          <a:noAutofit/>
                        </wps:bodyPr>
                      </wps:wsp>
                      <wps:wsp>
                        <wps:cNvPr id="3" name="Rectangle 344"/>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64B4A77C" w14:textId="77777777" w:rsidR="00FE5C31" w:rsidRDefault="00FE5C31" w:rsidP="002C5D13">
                              <w:pPr>
                                <w:jc w:val="center"/>
                                <w:rPr>
                                  <w:b/>
                                  <w:bCs/>
                                  <w:sz w:val="18"/>
                                  <w:szCs w:val="18"/>
                                </w:rPr>
                              </w:pPr>
                              <w:r>
                                <w:rPr>
                                  <w:b/>
                                  <w:bCs/>
                                  <w:sz w:val="18"/>
                                  <w:szCs w:val="18"/>
                                </w:rPr>
                                <w:t xml:space="preserve">Development Partners  </w:t>
                              </w:r>
                            </w:p>
                            <w:p w14:paraId="018A3983" w14:textId="70369367" w:rsidR="00FE5C31" w:rsidRPr="001C7E82" w:rsidRDefault="00FE5C31" w:rsidP="002C5D13">
                              <w:pPr>
                                <w:jc w:val="center"/>
                                <w:rPr>
                                  <w:i/>
                                  <w:sz w:val="18"/>
                                  <w:szCs w:val="18"/>
                                </w:rPr>
                              </w:pPr>
                              <w:r>
                                <w:rPr>
                                  <w:b/>
                                  <w:bCs/>
                                  <w:i/>
                                  <w:sz w:val="18"/>
                                  <w:szCs w:val="18"/>
                                </w:rPr>
                                <w:t>UNDP</w:t>
                              </w:r>
                            </w:p>
                          </w:txbxContent>
                        </wps:txbx>
                        <wps:bodyPr rot="0" vert="horz" wrap="square" lIns="91440" tIns="45720" rIns="91440" bIns="45720" anchor="t" anchorCtr="0" upright="1">
                          <a:noAutofit/>
                        </wps:bodyPr>
                      </wps:wsp>
                      <wps:wsp>
                        <wps:cNvPr id="4" name="Rectangle 345"/>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2CB932B" w14:textId="3A62BB11" w:rsidR="00FE5C31" w:rsidRDefault="00FE5C31" w:rsidP="0055246C">
                              <w:pPr>
                                <w:spacing w:after="0"/>
                                <w:jc w:val="center"/>
                                <w:rPr>
                                  <w:b/>
                                  <w:sz w:val="18"/>
                                  <w:szCs w:val="18"/>
                                </w:rPr>
                              </w:pPr>
                              <w:r>
                                <w:rPr>
                                  <w:b/>
                                  <w:sz w:val="18"/>
                                  <w:szCs w:val="18"/>
                                </w:rPr>
                                <w:t>Project Executive</w:t>
                              </w:r>
                            </w:p>
                            <w:p w14:paraId="2BFE561B" w14:textId="3398E4D6" w:rsidR="00FE5C31" w:rsidRPr="001C7E82" w:rsidRDefault="00FE5C31" w:rsidP="0055246C">
                              <w:pPr>
                                <w:spacing w:after="0"/>
                                <w:jc w:val="center"/>
                                <w:rPr>
                                  <w:rFonts w:cs="Arial"/>
                                  <w:szCs w:val="20"/>
                                </w:rPr>
                              </w:pPr>
                              <w:r>
                                <w:rPr>
                                  <w:b/>
                                  <w:bCs/>
                                  <w:i/>
                                  <w:sz w:val="18"/>
                                  <w:szCs w:val="18"/>
                                </w:rPr>
                                <w:t>MESPU</w:t>
                              </w:r>
                            </w:p>
                            <w:p w14:paraId="573A07E3" w14:textId="77777777" w:rsidR="00FE5C31" w:rsidRDefault="00FE5C31" w:rsidP="002C5D13">
                              <w:pPr>
                                <w:jc w:val="center"/>
                                <w:rPr>
                                  <w:b/>
                                  <w:sz w:val="18"/>
                                  <w:szCs w:val="18"/>
                                </w:rPr>
                              </w:pPr>
                            </w:p>
                            <w:p w14:paraId="684D68E4" w14:textId="77777777" w:rsidR="00FE5C31" w:rsidRPr="00EB563F" w:rsidRDefault="00FE5C31" w:rsidP="002C5D13">
                              <w:pPr>
                                <w:jc w:val="center"/>
                                <w:rPr>
                                  <w:b/>
                                  <w:szCs w:val="20"/>
                                </w:rPr>
                              </w:pPr>
                            </w:p>
                          </w:txbxContent>
                        </wps:txbx>
                        <wps:bodyPr rot="0" vert="horz" wrap="square" lIns="91440" tIns="45720" rIns="91440" bIns="45720" anchor="t" anchorCtr="0" upright="1">
                          <a:noAutofit/>
                        </wps:bodyPr>
                      </wps:wsp>
                      <wps:wsp>
                        <wps:cNvPr id="5" name="Rectangle 346"/>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A081AC9" w14:textId="77777777" w:rsidR="00FE5C31" w:rsidRPr="00CA0EEF" w:rsidRDefault="00FE5C31" w:rsidP="002C5D13">
                              <w:pPr>
                                <w:jc w:val="center"/>
                                <w:rPr>
                                  <w:b/>
                                  <w:bCs/>
                                  <w:sz w:val="18"/>
                                  <w:szCs w:val="18"/>
                                </w:rPr>
                              </w:pPr>
                              <w:r>
                                <w:rPr>
                                  <w:b/>
                                  <w:bCs/>
                                  <w:sz w:val="18"/>
                                  <w:szCs w:val="18"/>
                                </w:rPr>
                                <w:t>Beneficiary Representatives</w:t>
                              </w:r>
                            </w:p>
                            <w:p w14:paraId="278DC09E" w14:textId="66A3B2AB" w:rsidR="00FE5C31" w:rsidRPr="00EB563F" w:rsidRDefault="00FE5C31" w:rsidP="002C5D13">
                              <w:pPr>
                                <w:jc w:val="center"/>
                                <w:rPr>
                                  <w:szCs w:val="20"/>
                                  <w:lang w:val="es-ES"/>
                                </w:rPr>
                              </w:pPr>
                              <w:r>
                                <w:rPr>
                                  <w:b/>
                                  <w:bCs/>
                                  <w:i/>
                                  <w:sz w:val="18"/>
                                  <w:szCs w:val="18"/>
                                </w:rPr>
                                <w:t>Environment Protection Agency (EPA)</w:t>
                              </w:r>
                            </w:p>
                          </w:txbxContent>
                        </wps:txbx>
                        <wps:bodyPr rot="0" vert="horz" wrap="square" lIns="91440" tIns="45720" rIns="91440" bIns="45720" anchor="t" anchorCtr="0" upright="1">
                          <a:noAutofit/>
                        </wps:bodyPr>
                      </wps:wsp>
                      <wps:wsp>
                        <wps:cNvPr id="6" name="AutoShape 347"/>
                        <wps:cNvCnPr>
                          <a:cxnSpLocks noChangeShapeType="1"/>
                          <a:stCxn id="4" idx="2"/>
                          <a:endCxn id="1" idx="0"/>
                        </wps:cNvCnPr>
                        <wps:spPr bwMode="auto">
                          <a:xfrm>
                            <a:off x="2857500" y="137160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348"/>
                        <wps:cNvSpPr>
                          <a:spLocks noChangeArrowheads="1"/>
                        </wps:cNvSpPr>
                        <wps:spPr bwMode="auto">
                          <a:xfrm>
                            <a:off x="228600" y="1485900"/>
                            <a:ext cx="1600200" cy="36957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89EBEC3" w14:textId="0004351F" w:rsidR="00FE5C31" w:rsidRDefault="00FE5C31" w:rsidP="002C5D13">
                              <w:pPr>
                                <w:jc w:val="center"/>
                                <w:rPr>
                                  <w:b/>
                                  <w:sz w:val="18"/>
                                  <w:szCs w:val="18"/>
                                </w:rPr>
                              </w:pPr>
                              <w:r>
                                <w:rPr>
                                  <w:b/>
                                  <w:sz w:val="18"/>
                                  <w:szCs w:val="18"/>
                                </w:rPr>
                                <w:t>UNDP Project Assurance</w:t>
                              </w:r>
                            </w:p>
                            <w:p w14:paraId="5AF87867" w14:textId="77777777" w:rsidR="00FE5C31" w:rsidRPr="00EB563F" w:rsidRDefault="00FE5C31" w:rsidP="002C5D13">
                              <w:pPr>
                                <w:pStyle w:val="BodyText3"/>
                                <w:jc w:val="center"/>
                                <w:rPr>
                                  <w:b/>
                                  <w:bCs/>
                                </w:rPr>
                              </w:pPr>
                            </w:p>
                          </w:txbxContent>
                        </wps:txbx>
                        <wps:bodyPr rot="0" vert="horz" wrap="square" lIns="91440" tIns="45720" rIns="91440" bIns="45720" anchor="t" anchorCtr="0" upright="1">
                          <a:noAutofit/>
                        </wps:bodyPr>
                      </wps:wsp>
                      <wps:wsp>
                        <wps:cNvPr id="8" name="Rectangle 349"/>
                        <wps:cNvSpPr>
                          <a:spLocks noChangeArrowheads="1"/>
                        </wps:cNvSpPr>
                        <wps:spPr bwMode="auto">
                          <a:xfrm>
                            <a:off x="3886200" y="19431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7FD1AE75" w14:textId="2A1EBF75" w:rsidR="00FE5C31" w:rsidRDefault="00FE5C31" w:rsidP="002C5D13">
                              <w:pPr>
                                <w:jc w:val="center"/>
                                <w:rPr>
                                  <w:b/>
                                  <w:sz w:val="18"/>
                                  <w:szCs w:val="18"/>
                                </w:rPr>
                              </w:pPr>
                              <w:r>
                                <w:rPr>
                                  <w:b/>
                                  <w:sz w:val="18"/>
                                  <w:szCs w:val="18"/>
                                </w:rPr>
                                <w:t xml:space="preserve">Project Support: </w:t>
                              </w:r>
                            </w:p>
                            <w:p w14:paraId="0D238FAD" w14:textId="05D6CD9C" w:rsidR="00FE5C31" w:rsidRDefault="00FE5C31" w:rsidP="002C5D13">
                              <w:pPr>
                                <w:jc w:val="center"/>
                                <w:rPr>
                                  <w:b/>
                                  <w:sz w:val="18"/>
                                  <w:szCs w:val="18"/>
                                </w:rPr>
                              </w:pPr>
                              <w:r>
                                <w:rPr>
                                  <w:b/>
                                  <w:sz w:val="18"/>
                                  <w:szCs w:val="18"/>
                                </w:rPr>
                                <w:t>Project Management Unit at MESPU</w:t>
                              </w:r>
                            </w:p>
                            <w:p w14:paraId="284BA72E" w14:textId="77777777" w:rsidR="00FE5C31" w:rsidRDefault="00FE5C31" w:rsidP="002C5D13">
                              <w:pPr>
                                <w:spacing w:before="120"/>
                                <w:jc w:val="center"/>
                                <w:rPr>
                                  <w:sz w:val="18"/>
                                  <w:szCs w:val="18"/>
                                </w:rPr>
                              </w:pPr>
                            </w:p>
                          </w:txbxContent>
                        </wps:txbx>
                        <wps:bodyPr rot="0" vert="horz" wrap="square" lIns="91440" tIns="45720" rIns="91440" bIns="45720" anchor="t" anchorCtr="0" upright="1">
                          <a:noAutofit/>
                        </wps:bodyPr>
                      </wps:wsp>
                      <wps:wsp>
                        <wps:cNvPr id="9" name="AutoShape 350"/>
                        <wps:cNvCnPr>
                          <a:cxnSpLocks noChangeShapeType="1"/>
                        </wps:cNvCnPr>
                        <wps:spPr bwMode="auto">
                          <a:xfrm flipV="1">
                            <a:off x="3543300" y="2228800"/>
                            <a:ext cx="3429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51"/>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75C01D11" w14:textId="77777777" w:rsidR="00FE5C31" w:rsidRPr="001D0B24" w:rsidRDefault="00FE5C31" w:rsidP="002C5D13">
                              <w:pPr>
                                <w:spacing w:after="0"/>
                                <w:jc w:val="center"/>
                                <w:rPr>
                                  <w:b/>
                                  <w:sz w:val="24"/>
                                </w:rPr>
                              </w:pPr>
                              <w:r w:rsidRPr="001D0B24">
                                <w:rPr>
                                  <w:b/>
                                  <w:sz w:val="24"/>
                                </w:rPr>
                                <w:t>Project Organisation Structure</w:t>
                              </w:r>
                            </w:p>
                          </w:txbxContent>
                        </wps:txbx>
                        <wps:bodyPr rot="0" vert="horz" wrap="square" lIns="91440" tIns="45720" rIns="91440" bIns="45720" anchor="t" anchorCtr="0" upright="1">
                          <a:noAutofit/>
                        </wps:bodyPr>
                      </wps:wsp>
                      <wps:wsp>
                        <wps:cNvPr id="11" name="Rectangle 352"/>
                        <wps:cNvSpPr>
                          <a:spLocks noChangeArrowheads="1"/>
                        </wps:cNvSpPr>
                        <wps:spPr bwMode="auto">
                          <a:xfrm>
                            <a:off x="4572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6B2AB10" w14:textId="77777777" w:rsidR="00FE5C31" w:rsidRDefault="00FE5C31" w:rsidP="002C5D13">
                              <w:pPr>
                                <w:jc w:val="center"/>
                                <w:rPr>
                                  <w:b/>
                                  <w:sz w:val="18"/>
                                  <w:szCs w:val="18"/>
                                </w:rPr>
                              </w:pPr>
                              <w:r>
                                <w:rPr>
                                  <w:b/>
                                  <w:sz w:val="18"/>
                                  <w:szCs w:val="18"/>
                                </w:rPr>
                                <w:t>Responsible Party A</w:t>
                              </w:r>
                            </w:p>
                            <w:p w14:paraId="2F5942B4" w14:textId="77777777" w:rsidR="00FE5C31" w:rsidRDefault="00FE5C31" w:rsidP="002C5D13">
                              <w:pPr>
                                <w:jc w:val="center"/>
                                <w:rPr>
                                  <w:sz w:val="18"/>
                                  <w:szCs w:val="18"/>
                                </w:rPr>
                              </w:pPr>
                            </w:p>
                            <w:p w14:paraId="0E60CE95" w14:textId="75A0C98E" w:rsidR="00FE5C31" w:rsidRDefault="00FE5C31" w:rsidP="002C5D13">
                              <w:pPr>
                                <w:jc w:val="center"/>
                                <w:rPr>
                                  <w:sz w:val="18"/>
                                  <w:szCs w:val="18"/>
                                </w:rPr>
                              </w:pPr>
                              <w:r>
                                <w:rPr>
                                  <w:sz w:val="18"/>
                                  <w:szCs w:val="18"/>
                                </w:rPr>
                                <w:t>N.A.</w:t>
                              </w:r>
                            </w:p>
                          </w:txbxContent>
                        </wps:txbx>
                        <wps:bodyPr rot="0" vert="horz" wrap="square" lIns="91440" tIns="45720" rIns="91440" bIns="45720" anchor="t" anchorCtr="0" upright="1">
                          <a:noAutofit/>
                        </wps:bodyPr>
                      </wps:wsp>
                      <wps:wsp>
                        <wps:cNvPr id="12" name="Rectangle 353"/>
                        <wps:cNvSpPr>
                          <a:spLocks noChangeArrowheads="1"/>
                        </wps:cNvSpPr>
                        <wps:spPr bwMode="auto">
                          <a:xfrm>
                            <a:off x="37719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1E52B13B" w14:textId="77777777" w:rsidR="00FE5C31" w:rsidRDefault="00FE5C31" w:rsidP="002C5D13">
                              <w:pPr>
                                <w:jc w:val="center"/>
                                <w:rPr>
                                  <w:b/>
                                  <w:sz w:val="18"/>
                                  <w:szCs w:val="18"/>
                                </w:rPr>
                              </w:pPr>
                              <w:r>
                                <w:rPr>
                                  <w:b/>
                                  <w:sz w:val="18"/>
                                  <w:szCs w:val="18"/>
                                </w:rPr>
                                <w:t>Responsible Party C</w:t>
                              </w:r>
                            </w:p>
                            <w:p w14:paraId="6565F966" w14:textId="2339A182" w:rsidR="00FE5C31" w:rsidRDefault="00FE5C31" w:rsidP="002C5D13">
                              <w:pPr>
                                <w:jc w:val="center"/>
                                <w:rPr>
                                  <w:szCs w:val="20"/>
                                </w:rPr>
                              </w:pPr>
                            </w:p>
                            <w:p w14:paraId="74F5C061" w14:textId="276FEE47" w:rsidR="00FE5C31" w:rsidRPr="00EB563F" w:rsidRDefault="00FE5C31" w:rsidP="002C5D13">
                              <w:pPr>
                                <w:jc w:val="center"/>
                                <w:rPr>
                                  <w:szCs w:val="20"/>
                                </w:rPr>
                              </w:pPr>
                              <w:r>
                                <w:rPr>
                                  <w:szCs w:val="20"/>
                                </w:rPr>
                                <w:t>N.A.</w:t>
                              </w:r>
                            </w:p>
                          </w:txbxContent>
                        </wps:txbx>
                        <wps:bodyPr rot="0" vert="horz" wrap="square" lIns="91440" tIns="45720" rIns="91440" bIns="45720" anchor="t" anchorCtr="0" upright="1">
                          <a:noAutofit/>
                        </wps:bodyPr>
                      </wps:wsp>
                      <wps:wsp>
                        <wps:cNvPr id="13" name="AutoShape 354"/>
                        <wps:cNvCnPr>
                          <a:cxnSpLocks noChangeShapeType="1"/>
                        </wps:cNvCnPr>
                        <wps:spPr bwMode="auto">
                          <a:xfrm rot="5400000">
                            <a:off x="1914500" y="1800200"/>
                            <a:ext cx="228600" cy="16574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355"/>
                        <wps:cNvCnPr>
                          <a:cxnSpLocks noChangeShapeType="1"/>
                        </wps:cNvCnPr>
                        <wps:spPr bwMode="auto">
                          <a:xfrm rot="16200000" flipH="1">
                            <a:off x="3571900" y="1800100"/>
                            <a:ext cx="228600" cy="16573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Rectangle 356"/>
                        <wps:cNvSpPr>
                          <a:spLocks noChangeArrowheads="1"/>
                        </wps:cNvSpPr>
                        <wps:spPr bwMode="auto">
                          <a:xfrm>
                            <a:off x="2057400" y="27432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3FBFCF1" w14:textId="77777777" w:rsidR="00FE5C31" w:rsidRDefault="00FE5C31" w:rsidP="002C5D13">
                              <w:pPr>
                                <w:jc w:val="center"/>
                                <w:rPr>
                                  <w:b/>
                                  <w:sz w:val="18"/>
                                  <w:szCs w:val="18"/>
                                </w:rPr>
                              </w:pPr>
                              <w:r>
                                <w:rPr>
                                  <w:b/>
                                  <w:sz w:val="18"/>
                                  <w:szCs w:val="18"/>
                                </w:rPr>
                                <w:t>Responsible Party B</w:t>
                              </w:r>
                            </w:p>
                            <w:p w14:paraId="052385CB" w14:textId="34613ABB" w:rsidR="00FE5C31" w:rsidRDefault="00FE5C31" w:rsidP="002C5D13">
                              <w:pPr>
                                <w:jc w:val="center"/>
                                <w:rPr>
                                  <w:szCs w:val="20"/>
                                </w:rPr>
                              </w:pPr>
                            </w:p>
                            <w:p w14:paraId="1116F260" w14:textId="77B62F18" w:rsidR="00FE5C31" w:rsidRPr="00EB563F" w:rsidRDefault="00FE5C31" w:rsidP="002C5D13">
                              <w:pPr>
                                <w:jc w:val="center"/>
                                <w:rPr>
                                  <w:szCs w:val="20"/>
                                </w:rPr>
                              </w:pPr>
                              <w:r>
                                <w:rPr>
                                  <w:szCs w:val="20"/>
                                </w:rPr>
                                <w:t>N.A.</w:t>
                              </w:r>
                            </w:p>
                          </w:txbxContent>
                        </wps:txbx>
                        <wps:bodyPr rot="0" vert="horz" wrap="square" lIns="91440" tIns="45720" rIns="91440" bIns="45720" anchor="t" anchorCtr="0" upright="1">
                          <a:noAutofit/>
                        </wps:bodyPr>
                      </wps:wsp>
                      <wps:wsp>
                        <wps:cNvPr id="16" name="AutoShape 357"/>
                        <wps:cNvCnPr>
                          <a:cxnSpLocks noChangeShapeType="1"/>
                          <a:stCxn id="1" idx="2"/>
                        </wps:cNvCnPr>
                        <wps:spPr bwMode="auto">
                          <a:xfrm>
                            <a:off x="2857500" y="2453640"/>
                            <a:ext cx="60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58"/>
                        <wps:cNvCnPr>
                          <a:cxnSpLocks noChangeShapeType="1"/>
                        </wps:cNvCnPr>
                        <wps:spPr bwMode="auto">
                          <a:xfrm rot="16200000">
                            <a:off x="1885800" y="51440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5976C58" id="Canvas 340" o:spid="_x0000_s1026" editas="canvas" style="width:468pt;height:4in;mso-position-horizontal-relative:char;mso-position-vertical-relative:line" coordsize="5943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6576;visibility:visible;mso-wrap-style:square">
                  <v:fill o:detectmouseclick="t"/>
                  <v:path o:connecttype="none"/>
                </v:shape>
                <v:rect id="Rectangle 342" o:spid="_x0000_s1028" style="position:absolute;left:21717;top:18326;width:13716;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" fillcolor="#fc9">
                  <v:shadow on="t" opacity=".5" offset="6pt,6pt"/>
                  <v:textbox>
                    <w:txbxContent>
                      <w:p w14:paraId="2A97063B" w14:textId="13EB575B" w:rsidR="00FE5C31" w:rsidRDefault="00FE5C31" w:rsidP="002C5D13">
                        <w:pPr>
                          <w:jc w:val="center"/>
                          <w:rPr>
                            <w:b/>
                            <w:sz w:val="18"/>
                            <w:szCs w:val="18"/>
                          </w:rPr>
                        </w:pPr>
                        <w:r>
                          <w:rPr>
                            <w:b/>
                            <w:sz w:val="18"/>
                            <w:szCs w:val="18"/>
                          </w:rPr>
                          <w:t>Implementing Partner</w:t>
                        </w:r>
                        <w:r w:rsidRPr="00A27858">
                          <w:rPr>
                            <w:b/>
                            <w:sz w:val="18"/>
                            <w:szCs w:val="18"/>
                          </w:rPr>
                          <w:t xml:space="preserve"> </w:t>
                        </w:r>
                      </w:p>
                      <w:p w14:paraId="468307A3" w14:textId="0DF74917" w:rsidR="00FE5C31" w:rsidRPr="00A27858" w:rsidRDefault="00FE5C31" w:rsidP="002C5D13">
                        <w:pPr>
                          <w:jc w:val="center"/>
                          <w:rPr>
                            <w:szCs w:val="20"/>
                          </w:rPr>
                        </w:pPr>
                        <w:r>
                          <w:rPr>
                            <w:b/>
                            <w:sz w:val="18"/>
                            <w:szCs w:val="18"/>
                          </w:rPr>
                          <w:t xml:space="preserve">MESPU - Department for Climate Change </w:t>
                        </w:r>
                      </w:p>
                    </w:txbxContent>
                  </v:textbox>
                </v:rect>
                <v:rect id="Rectangle 343" o:spid="_x0000_s1029" style="position:absolute;left:5715;top:5715;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" fillcolor="#f90">
                  <v:shadow on="t" opacity=".5" offset="6pt,6pt"/>
                  <v:textbox>
                    <w:txbxContent>
                      <w:p w14:paraId="10AE3B3B" w14:textId="77777777" w:rsidR="00FE5C31" w:rsidRDefault="00FE5C31" w:rsidP="002C5D13">
                        <w:pPr>
                          <w:jc w:val="center"/>
                          <w:rPr>
                            <w:b/>
                          </w:rPr>
                        </w:pPr>
                        <w:r>
                          <w:rPr>
                            <w:b/>
                          </w:rPr>
                          <w:t>Project Board/Steering Committee</w:t>
                        </w:r>
                      </w:p>
                    </w:txbxContent>
                  </v:textbox>
                </v:rect>
                <v:rect id="Rectangle 344" o:spid="_x0000_s1030"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4wQAAANoAAAAPAAAAZHJzL2Rvd25yZXYueG1sRI/disIw&#10;FITvBd8hHGHvNLUL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CLQf/jBAAAA2gAAAA8AAAAA&#10;AAAAAAAAAAAABwIAAGRycy9kb3ducmV2LnhtbFBLBQYAAAAAAwADALcAAAD1AgAAAAA=&#10;" fillcolor="#fc0">
                  <v:shadow on="t" opacity=".5" offset="6pt,6pt"/>
                  <v:textbox>
                    <w:txbxContent>
                      <w:p w14:paraId="64B4A77C" w14:textId="77777777" w:rsidR="00FE5C31" w:rsidRDefault="00FE5C31" w:rsidP="002C5D13">
                        <w:pPr>
                          <w:jc w:val="center"/>
                          <w:rPr>
                            <w:b/>
                            <w:bCs/>
                            <w:sz w:val="18"/>
                            <w:szCs w:val="18"/>
                          </w:rPr>
                        </w:pPr>
                        <w:r>
                          <w:rPr>
                            <w:b/>
                            <w:bCs/>
                            <w:sz w:val="18"/>
                            <w:szCs w:val="18"/>
                          </w:rPr>
                          <w:t xml:space="preserve">Development Partners  </w:t>
                        </w:r>
                      </w:p>
                      <w:p w14:paraId="018A3983" w14:textId="70369367" w:rsidR="00FE5C31" w:rsidRPr="001C7E82" w:rsidRDefault="00FE5C31" w:rsidP="002C5D13">
                        <w:pPr>
                          <w:jc w:val="center"/>
                          <w:rPr>
                            <w:i/>
                            <w:sz w:val="18"/>
                            <w:szCs w:val="18"/>
                          </w:rPr>
                        </w:pPr>
                        <w:r>
                          <w:rPr>
                            <w:b/>
                            <w:bCs/>
                            <w:i/>
                            <w:sz w:val="18"/>
                            <w:szCs w:val="18"/>
                          </w:rPr>
                          <w:t>UNDP</w:t>
                        </w:r>
                      </w:p>
                    </w:txbxContent>
                  </v:textbox>
                </v:rect>
                <v:rect id="Rectangle 345" o:spid="_x0000_s1031"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eMwQAAANoAAAAPAAAAZHJzL2Rvd25yZXYueG1sRI/disIw&#10;FITvBd8hHGHvNLUs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K0554zBAAAA2gAAAA8AAAAA&#10;AAAAAAAAAAAABwIAAGRycy9kb3ducmV2LnhtbFBLBQYAAAAAAwADALcAAAD1AgAAAAA=&#10;" fillcolor="#fc0">
                  <v:shadow on="t" opacity=".5" offset="6pt,6pt"/>
                  <v:textbox>
                    <w:txbxContent>
                      <w:p w14:paraId="72CB932B" w14:textId="3A62BB11" w:rsidR="00FE5C31" w:rsidRDefault="00FE5C31" w:rsidP="0055246C">
                        <w:pPr>
                          <w:spacing w:after="0"/>
                          <w:jc w:val="center"/>
                          <w:rPr>
                            <w:b/>
                            <w:sz w:val="18"/>
                            <w:szCs w:val="18"/>
                          </w:rPr>
                        </w:pPr>
                        <w:r>
                          <w:rPr>
                            <w:b/>
                            <w:sz w:val="18"/>
                            <w:szCs w:val="18"/>
                          </w:rPr>
                          <w:t>Project Executive</w:t>
                        </w:r>
                      </w:p>
                      <w:p w14:paraId="2BFE561B" w14:textId="3398E4D6" w:rsidR="00FE5C31" w:rsidRPr="001C7E82" w:rsidRDefault="00FE5C31" w:rsidP="0055246C">
                        <w:pPr>
                          <w:spacing w:after="0"/>
                          <w:jc w:val="center"/>
                          <w:rPr>
                            <w:rFonts w:cs="Arial"/>
                            <w:szCs w:val="20"/>
                          </w:rPr>
                        </w:pPr>
                        <w:r>
                          <w:rPr>
                            <w:b/>
                            <w:bCs/>
                            <w:i/>
                            <w:sz w:val="18"/>
                            <w:szCs w:val="18"/>
                          </w:rPr>
                          <w:t>MESPU</w:t>
                        </w:r>
                      </w:p>
                      <w:p w14:paraId="573A07E3" w14:textId="77777777" w:rsidR="00FE5C31" w:rsidRDefault="00FE5C31" w:rsidP="002C5D13">
                        <w:pPr>
                          <w:jc w:val="center"/>
                          <w:rPr>
                            <w:b/>
                            <w:sz w:val="18"/>
                            <w:szCs w:val="18"/>
                          </w:rPr>
                        </w:pPr>
                      </w:p>
                      <w:p w14:paraId="684D68E4" w14:textId="77777777" w:rsidR="00FE5C31" w:rsidRPr="00EB563F" w:rsidRDefault="00FE5C31" w:rsidP="002C5D13">
                        <w:pPr>
                          <w:jc w:val="center"/>
                          <w:rPr>
                            <w:b/>
                            <w:szCs w:val="20"/>
                          </w:rPr>
                        </w:pPr>
                      </w:p>
                    </w:txbxContent>
                  </v:textbox>
                </v:rect>
                <v:rect id="Rectangle 346" o:spid="_x0000_s1032"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IXwQAAANoAAAAPAAAAZHJzL2Rvd25yZXYueG1sRI/disIw&#10;FITvBd8hHGHvNLWw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MJ1QhfBAAAA2gAAAA8AAAAA&#10;AAAAAAAAAAAABwIAAGRycy9kb3ducmV2LnhtbFBLBQYAAAAAAwADALcAAAD1AgAAAAA=&#10;" fillcolor="#fc0">
                  <v:shadow on="t" opacity=".5" offset="6pt,6pt"/>
                  <v:textbox>
                    <w:txbxContent>
                      <w:p w14:paraId="1A081AC9" w14:textId="77777777" w:rsidR="00FE5C31" w:rsidRPr="00CA0EEF" w:rsidRDefault="00FE5C31" w:rsidP="002C5D13">
                        <w:pPr>
                          <w:jc w:val="center"/>
                          <w:rPr>
                            <w:b/>
                            <w:bCs/>
                            <w:sz w:val="18"/>
                            <w:szCs w:val="18"/>
                          </w:rPr>
                        </w:pPr>
                        <w:r>
                          <w:rPr>
                            <w:b/>
                            <w:bCs/>
                            <w:sz w:val="18"/>
                            <w:szCs w:val="18"/>
                          </w:rPr>
                          <w:t>Beneficiary Representatives</w:t>
                        </w:r>
                      </w:p>
                      <w:p w14:paraId="278DC09E" w14:textId="66A3B2AB" w:rsidR="00FE5C31" w:rsidRPr="00EB563F" w:rsidRDefault="00FE5C31" w:rsidP="002C5D13">
                        <w:pPr>
                          <w:jc w:val="center"/>
                          <w:rPr>
                            <w:szCs w:val="20"/>
                            <w:lang w:val="es-ES"/>
                          </w:rPr>
                        </w:pPr>
                        <w:r>
                          <w:rPr>
                            <w:b/>
                            <w:bCs/>
                            <w:i/>
                            <w:sz w:val="18"/>
                            <w:szCs w:val="18"/>
                          </w:rPr>
                          <w:t>Environment Protection Agency (EPA)</w:t>
                        </w:r>
                      </w:p>
                    </w:txbxContent>
                  </v:textbox>
                </v:rect>
                <v:shapetype id="_x0000_t32" coordsize="21600,21600" o:spt="32" o:oned="t" path="m,l21600,21600e" filled="f">
                  <v:path arrowok="t" fillok="f" o:connecttype="none"/>
                  <o:lock v:ext="edit" shapetype="t"/>
                </v:shapetype>
                <v:shape id="AutoShape 347" o:spid="_x0000_s1033" type="#_x0000_t32" style="position:absolute;left:28575;top:13716;width:0;height:4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ctangle 348" o:spid="_x0000_s1034" style="position:absolute;left:2286;top:14859;width:1600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" fillcolor="#fc0">
                  <v:shadow on="t" opacity=".5" offset="6pt,6pt"/>
                  <v:textbox>
                    <w:txbxContent>
                      <w:p w14:paraId="589EBEC3" w14:textId="0004351F" w:rsidR="00FE5C31" w:rsidRDefault="00FE5C31" w:rsidP="002C5D13">
                        <w:pPr>
                          <w:jc w:val="center"/>
                          <w:rPr>
                            <w:b/>
                            <w:sz w:val="18"/>
                            <w:szCs w:val="18"/>
                          </w:rPr>
                        </w:pPr>
                        <w:r>
                          <w:rPr>
                            <w:b/>
                            <w:sz w:val="18"/>
                            <w:szCs w:val="18"/>
                          </w:rPr>
                          <w:t>UNDP Project Assurance</w:t>
                        </w:r>
                      </w:p>
                      <w:p w14:paraId="5AF87867" w14:textId="77777777" w:rsidR="00FE5C31" w:rsidRPr="00EB563F" w:rsidRDefault="00FE5C31" w:rsidP="002C5D13">
                        <w:pPr>
                          <w:pStyle w:val="BodyText3"/>
                          <w:jc w:val="center"/>
                          <w:rPr>
                            <w:b/>
                            <w:bCs/>
                          </w:rPr>
                        </w:pPr>
                      </w:p>
                    </w:txbxContent>
                  </v:textbox>
                </v:rect>
                <v:rect id="Rectangle 349" o:spid="_x0000_s1035" style="position:absolute;left:38862;top:1943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" fillcolor="#fc9">
                  <v:shadow on="t" opacity=".5" offset="6pt,6pt"/>
                  <v:textbox>
                    <w:txbxContent>
                      <w:p w14:paraId="7FD1AE75" w14:textId="2A1EBF75" w:rsidR="00FE5C31" w:rsidRDefault="00FE5C31" w:rsidP="002C5D13">
                        <w:pPr>
                          <w:jc w:val="center"/>
                          <w:rPr>
                            <w:b/>
                            <w:sz w:val="18"/>
                            <w:szCs w:val="18"/>
                          </w:rPr>
                        </w:pPr>
                        <w:r>
                          <w:rPr>
                            <w:b/>
                            <w:sz w:val="18"/>
                            <w:szCs w:val="18"/>
                          </w:rPr>
                          <w:t xml:space="preserve">Project Support: </w:t>
                        </w:r>
                      </w:p>
                      <w:p w14:paraId="0D238FAD" w14:textId="05D6CD9C" w:rsidR="00FE5C31" w:rsidRDefault="00FE5C31" w:rsidP="002C5D13">
                        <w:pPr>
                          <w:jc w:val="center"/>
                          <w:rPr>
                            <w:b/>
                            <w:sz w:val="18"/>
                            <w:szCs w:val="18"/>
                          </w:rPr>
                        </w:pPr>
                        <w:r>
                          <w:rPr>
                            <w:b/>
                            <w:sz w:val="18"/>
                            <w:szCs w:val="18"/>
                          </w:rPr>
                          <w:t>Project Management Unit at MESPU</w:t>
                        </w:r>
                      </w:p>
                      <w:p w14:paraId="284BA72E" w14:textId="77777777" w:rsidR="00FE5C31" w:rsidRDefault="00FE5C31" w:rsidP="002C5D13">
                        <w:pPr>
                          <w:spacing w:before="120"/>
                          <w:jc w:val="center"/>
                          <w:rPr>
                            <w:sz w:val="18"/>
                            <w:szCs w:val="18"/>
                          </w:rPr>
                        </w:pPr>
                      </w:p>
                    </w:txbxContent>
                  </v:textbox>
                </v:rect>
                <v:shape id="AutoShape 350" o:spid="_x0000_s1036" type="#_x0000_t32" style="position:absolute;left:35433;top:22288;width:342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roundrect id="AutoShape 351" o:spid="_x0000_s1037"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" fillcolor="#9cf">
                  <v:textbox>
                    <w:txbxContent>
                      <w:p w14:paraId="75C01D11" w14:textId="77777777" w:rsidR="00FE5C31" w:rsidRPr="001D0B24" w:rsidRDefault="00FE5C31" w:rsidP="002C5D13">
                        <w:pPr>
                          <w:spacing w:after="0"/>
                          <w:jc w:val="center"/>
                          <w:rPr>
                            <w:b/>
                            <w:sz w:val="24"/>
                          </w:rPr>
                        </w:pPr>
                        <w:r w:rsidRPr="001D0B24">
                          <w:rPr>
                            <w:b/>
                            <w:sz w:val="24"/>
                          </w:rPr>
                          <w:t>Project Organisation Structure</w:t>
                        </w:r>
                      </w:p>
                    </w:txbxContent>
                  </v:textbox>
                </v:roundrect>
                <v:rect id="Rectangle 352" o:spid="_x0000_s1038" style="position:absolute;left:4572;top:27432;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" fillcolor="#ff9">
                  <v:shadow on="t" opacity=".5" offset="6pt,6pt"/>
                  <v:textbox>
                    <w:txbxContent>
                      <w:p w14:paraId="26B2AB10" w14:textId="77777777" w:rsidR="00FE5C31" w:rsidRDefault="00FE5C31" w:rsidP="002C5D13">
                        <w:pPr>
                          <w:jc w:val="center"/>
                          <w:rPr>
                            <w:b/>
                            <w:sz w:val="18"/>
                            <w:szCs w:val="18"/>
                          </w:rPr>
                        </w:pPr>
                        <w:r>
                          <w:rPr>
                            <w:b/>
                            <w:sz w:val="18"/>
                            <w:szCs w:val="18"/>
                          </w:rPr>
                          <w:t>Responsible Party A</w:t>
                        </w:r>
                      </w:p>
                      <w:p w14:paraId="2F5942B4" w14:textId="77777777" w:rsidR="00FE5C31" w:rsidRDefault="00FE5C31" w:rsidP="002C5D13">
                        <w:pPr>
                          <w:jc w:val="center"/>
                          <w:rPr>
                            <w:sz w:val="18"/>
                            <w:szCs w:val="18"/>
                          </w:rPr>
                        </w:pPr>
                      </w:p>
                      <w:p w14:paraId="0E60CE95" w14:textId="75A0C98E" w:rsidR="00FE5C31" w:rsidRDefault="00FE5C31" w:rsidP="002C5D13">
                        <w:pPr>
                          <w:jc w:val="center"/>
                          <w:rPr>
                            <w:sz w:val="18"/>
                            <w:szCs w:val="18"/>
                          </w:rPr>
                        </w:pPr>
                        <w:r>
                          <w:rPr>
                            <w:sz w:val="18"/>
                            <w:szCs w:val="18"/>
                          </w:rPr>
                          <w:t>N.A.</w:t>
                        </w:r>
                      </w:p>
                    </w:txbxContent>
                  </v:textbox>
                </v:rect>
                <v:rect id="Rectangle 353" o:spid="_x0000_s1039" style="position:absolute;left:37719;top:27432;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" fillcolor="#ff9">
                  <v:shadow on="t" opacity=".5" offset="6pt,6pt"/>
                  <v:textbox>
                    <w:txbxContent>
                      <w:p w14:paraId="1E52B13B" w14:textId="77777777" w:rsidR="00FE5C31" w:rsidRDefault="00FE5C31" w:rsidP="002C5D13">
                        <w:pPr>
                          <w:jc w:val="center"/>
                          <w:rPr>
                            <w:b/>
                            <w:sz w:val="18"/>
                            <w:szCs w:val="18"/>
                          </w:rPr>
                        </w:pPr>
                        <w:r>
                          <w:rPr>
                            <w:b/>
                            <w:sz w:val="18"/>
                            <w:szCs w:val="18"/>
                          </w:rPr>
                          <w:t>Responsible Party C</w:t>
                        </w:r>
                      </w:p>
                      <w:p w14:paraId="6565F966" w14:textId="2339A182" w:rsidR="00FE5C31" w:rsidRDefault="00FE5C31" w:rsidP="002C5D13">
                        <w:pPr>
                          <w:jc w:val="center"/>
                          <w:rPr>
                            <w:szCs w:val="20"/>
                          </w:rPr>
                        </w:pPr>
                      </w:p>
                      <w:p w14:paraId="74F5C061" w14:textId="276FEE47" w:rsidR="00FE5C31" w:rsidRPr="00EB563F" w:rsidRDefault="00FE5C31" w:rsidP="002C5D13">
                        <w:pPr>
                          <w:jc w:val="center"/>
                          <w:rPr>
                            <w:szCs w:val="20"/>
                          </w:rPr>
                        </w:pPr>
                        <w:r>
                          <w:rPr>
                            <w:szCs w:val="20"/>
                          </w:rPr>
                          <w:t>N.A.</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4" o:spid="_x0000_s1040" type="#_x0000_t34" style="position:absolute;left:19145;top:18002;width:2286;height:165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" adj="10740"/>
                <v:shape id="AutoShape 355" o:spid="_x0000_s1041" type="#_x0000_t34" style="position:absolute;left:35719;top:18000;width:2286;height:16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" adj="10740"/>
                <v:rect id="Rectangle 356" o:spid="_x0000_s1042" style="position:absolute;left:20574;top:27432;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" fillcolor="#ff9">
                  <v:shadow on="t" opacity=".5" offset="6pt,6pt"/>
                  <v:textbox>
                    <w:txbxContent>
                      <w:p w14:paraId="53FBFCF1" w14:textId="77777777" w:rsidR="00FE5C31" w:rsidRDefault="00FE5C31" w:rsidP="002C5D13">
                        <w:pPr>
                          <w:jc w:val="center"/>
                          <w:rPr>
                            <w:b/>
                            <w:sz w:val="18"/>
                            <w:szCs w:val="18"/>
                          </w:rPr>
                        </w:pPr>
                        <w:r>
                          <w:rPr>
                            <w:b/>
                            <w:sz w:val="18"/>
                            <w:szCs w:val="18"/>
                          </w:rPr>
                          <w:t>Responsible Party B</w:t>
                        </w:r>
                      </w:p>
                      <w:p w14:paraId="052385CB" w14:textId="34613ABB" w:rsidR="00FE5C31" w:rsidRDefault="00FE5C31" w:rsidP="002C5D13">
                        <w:pPr>
                          <w:jc w:val="center"/>
                          <w:rPr>
                            <w:szCs w:val="20"/>
                          </w:rPr>
                        </w:pPr>
                      </w:p>
                      <w:p w14:paraId="1116F260" w14:textId="77B62F18" w:rsidR="00FE5C31" w:rsidRPr="00EB563F" w:rsidRDefault="00FE5C31" w:rsidP="002C5D13">
                        <w:pPr>
                          <w:jc w:val="center"/>
                          <w:rPr>
                            <w:szCs w:val="20"/>
                          </w:rPr>
                        </w:pPr>
                        <w:r>
                          <w:rPr>
                            <w:szCs w:val="20"/>
                          </w:rPr>
                          <w:t>N.A.</w:t>
                        </w:r>
                      </w:p>
                    </w:txbxContent>
                  </v:textbox>
                </v:rect>
                <v:shape id="AutoShape 357" o:spid="_x0000_s1043" type="#_x0000_t32" style="position:absolute;left:28575;top:24536;width:6;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358" o:spid="_x0000_s1044" type="#_x0000_t34" style="position:absolute;left:18857;top:5144;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"/>
                <w10:anchorlock/>
              </v:group>
            </w:pict>
          </mc:Fallback>
        </mc:AlternateContent>
      </w:r>
    </w:p>
    <w:p w14:paraId="210C24C7" w14:textId="77777777" w:rsidR="002C5D13" w:rsidRPr="004870C7" w:rsidRDefault="002C5D13" w:rsidP="002C5D13">
      <w:pPr>
        <w:shd w:val="clear" w:color="auto" w:fill="FFFFFF"/>
        <w:spacing w:after="0"/>
        <w:jc w:val="left"/>
        <w:rPr>
          <w:rFonts w:cs="Arial"/>
          <w:szCs w:val="20"/>
          <w:lang w:eastAsia="zh-CN"/>
        </w:rPr>
      </w:pPr>
    </w:p>
    <w:p w14:paraId="12C568FD" w14:textId="1351F562" w:rsidR="007B1CEE" w:rsidRPr="004870C7" w:rsidRDefault="002C5D13" w:rsidP="00F76C7D">
      <w:pPr>
        <w:shd w:val="clear" w:color="auto" w:fill="FFFFFF"/>
        <w:spacing w:after="0"/>
        <w:rPr>
          <w:rFonts w:cs="Arial"/>
          <w:szCs w:val="20"/>
          <w:lang w:eastAsia="zh-CN"/>
        </w:rPr>
      </w:pPr>
      <w:r w:rsidRPr="004870C7">
        <w:rPr>
          <w:rFonts w:cs="Arial"/>
          <w:szCs w:val="20"/>
          <w:lang w:eastAsia="zh-CN"/>
        </w:rPr>
        <w:t xml:space="preserve">The Project Board (also called Project Steering Committee) </w:t>
      </w:r>
      <w:r w:rsidR="00354950" w:rsidRPr="004870C7">
        <w:rPr>
          <w:rFonts w:cs="Arial"/>
          <w:szCs w:val="20"/>
          <w:lang w:eastAsia="zh-CN"/>
        </w:rPr>
        <w:t xml:space="preserve">is responsible for taking </w:t>
      </w:r>
      <w:r w:rsidR="00354950" w:rsidRPr="004870C7">
        <w:rPr>
          <w:rFonts w:cs="Calibri"/>
          <w:szCs w:val="20"/>
        </w:rPr>
        <w:t>corrective action as needed to ensure the project achieves the desired results.</w:t>
      </w:r>
      <w:r w:rsidR="00136B4B" w:rsidRPr="004870C7">
        <w:rPr>
          <w:rFonts w:cs="Calibri"/>
          <w:szCs w:val="20"/>
        </w:rPr>
        <w:t xml:space="preserve"> </w:t>
      </w:r>
      <w:r w:rsidRPr="004870C7">
        <w:rPr>
          <w:rFonts w:cs="Arial"/>
          <w:szCs w:val="20"/>
          <w:lang w:eastAsia="zh-CN"/>
        </w:rPr>
        <w:t xml:space="preserve">In order to ensure UNDP’s ultimate accountability, Project Board decisions should be made in accordance with standards that shall ensure management for development results, best value money, fairness, integrity, transparency and effective international competition. </w:t>
      </w:r>
    </w:p>
    <w:p w14:paraId="11E9C045" w14:textId="77777777" w:rsidR="007B1CEE" w:rsidRPr="004870C7" w:rsidRDefault="007B1CEE" w:rsidP="001354E3">
      <w:pPr>
        <w:shd w:val="clear" w:color="auto" w:fill="FFFFFF"/>
        <w:spacing w:after="0"/>
        <w:jc w:val="left"/>
        <w:rPr>
          <w:rFonts w:cs="Arial"/>
          <w:szCs w:val="20"/>
          <w:lang w:eastAsia="zh-CN"/>
        </w:rPr>
      </w:pPr>
    </w:p>
    <w:p w14:paraId="69EB9CEA" w14:textId="71DD88B0" w:rsidR="002C5D13" w:rsidRPr="004870C7" w:rsidRDefault="002C5D13" w:rsidP="00F76C7D">
      <w:pPr>
        <w:shd w:val="clear" w:color="auto" w:fill="FFFFFF"/>
        <w:spacing w:after="0"/>
        <w:rPr>
          <w:rFonts w:cs="Arial"/>
          <w:i/>
          <w:szCs w:val="20"/>
          <w:lang w:eastAsia="zh-CN"/>
        </w:rPr>
      </w:pPr>
      <w:r w:rsidRPr="004870C7">
        <w:rPr>
          <w:rFonts w:cs="Arial"/>
          <w:szCs w:val="20"/>
          <w:lang w:eastAsia="zh-CN"/>
        </w:rPr>
        <w:t xml:space="preserve">In case consensus cannot be reached within the Board, </w:t>
      </w:r>
      <w:r w:rsidR="00FD2D14" w:rsidRPr="004870C7">
        <w:rPr>
          <w:rFonts w:cs="Arial"/>
          <w:szCs w:val="20"/>
          <w:lang w:eastAsia="zh-CN"/>
        </w:rPr>
        <w:t xml:space="preserve">the UNDP </w:t>
      </w:r>
      <w:r w:rsidR="001A5491" w:rsidRPr="004870C7">
        <w:rPr>
          <w:rFonts w:eastAsia="Times New Roman" w:cstheme="minorHAnsi"/>
        </w:rPr>
        <w:t xml:space="preserve">Resident Representative </w:t>
      </w:r>
      <w:r w:rsidR="00FD2D14" w:rsidRPr="004870C7">
        <w:rPr>
          <w:rFonts w:eastAsia="Times New Roman" w:cstheme="minorHAnsi"/>
        </w:rPr>
        <w:t>(</w:t>
      </w:r>
      <w:r w:rsidR="001A5491" w:rsidRPr="004870C7">
        <w:rPr>
          <w:rFonts w:eastAsia="Times New Roman" w:cstheme="minorHAnsi"/>
        </w:rPr>
        <w:t>or</w:t>
      </w:r>
      <w:r w:rsidR="00226878" w:rsidRPr="004870C7">
        <w:rPr>
          <w:rFonts w:eastAsia="Times New Roman" w:cstheme="minorHAnsi"/>
        </w:rPr>
        <w:t xml:space="preserve"> </w:t>
      </w:r>
      <w:r w:rsidR="00FD2D14" w:rsidRPr="004870C7">
        <w:rPr>
          <w:rFonts w:eastAsia="Times New Roman" w:cstheme="minorHAnsi"/>
        </w:rPr>
        <w:t>their designate) will mediate to find consensus and, if this cannot be found, will take the final decision to ensure project implementation is not unduly delayed</w:t>
      </w:r>
      <w:r w:rsidR="00F76C7D" w:rsidRPr="004870C7">
        <w:rPr>
          <w:rFonts w:eastAsia="Times New Roman" w:cstheme="minorHAnsi"/>
          <w:i/>
        </w:rPr>
        <w:t>.</w:t>
      </w:r>
    </w:p>
    <w:p w14:paraId="0EEFA6CF" w14:textId="77777777" w:rsidR="002C5D13" w:rsidRPr="004870C7" w:rsidRDefault="002C5D13" w:rsidP="001354E3">
      <w:pPr>
        <w:shd w:val="clear" w:color="auto" w:fill="FFFFFF"/>
        <w:spacing w:after="0"/>
        <w:jc w:val="left"/>
        <w:rPr>
          <w:rFonts w:cs="Arial"/>
          <w:szCs w:val="20"/>
          <w:u w:val="single"/>
          <w:lang w:eastAsia="zh-CN"/>
        </w:rPr>
      </w:pPr>
    </w:p>
    <w:p w14:paraId="1ADF18F6" w14:textId="77777777" w:rsidR="002C5D13" w:rsidRPr="004870C7" w:rsidRDefault="002C5D13" w:rsidP="001354E3">
      <w:pPr>
        <w:shd w:val="clear" w:color="auto" w:fill="FFFFFF"/>
        <w:spacing w:after="0"/>
        <w:jc w:val="left"/>
        <w:rPr>
          <w:rFonts w:cs="Arial"/>
          <w:szCs w:val="20"/>
          <w:lang w:eastAsia="zh-CN"/>
        </w:rPr>
      </w:pPr>
      <w:r w:rsidRPr="004870C7">
        <w:rPr>
          <w:rFonts w:cs="Arial"/>
          <w:szCs w:val="20"/>
          <w:lang w:eastAsia="zh-CN"/>
        </w:rPr>
        <w:t>Specific responsibilities of the Project Board include:</w:t>
      </w:r>
    </w:p>
    <w:p w14:paraId="7BCD4CF6" w14:textId="77777777" w:rsidR="002C5D13" w:rsidRPr="004870C7" w:rsidRDefault="002C5D13" w:rsidP="00FA41FE">
      <w:pPr>
        <w:pStyle w:val="ListParagraph"/>
        <w:numPr>
          <w:ilvl w:val="0"/>
          <w:numId w:val="13"/>
        </w:numPr>
        <w:rPr>
          <w:rFonts w:ascii="Calibri" w:hAnsi="Calibri"/>
          <w:sz w:val="20"/>
          <w:szCs w:val="20"/>
        </w:rPr>
      </w:pPr>
      <w:r w:rsidRPr="004870C7">
        <w:rPr>
          <w:rFonts w:ascii="Calibri" w:hAnsi="Calibri"/>
          <w:sz w:val="20"/>
          <w:szCs w:val="20"/>
        </w:rPr>
        <w:t>Provide overall guidance and direction to the project, ensuring it remains within any specified constraints;</w:t>
      </w:r>
    </w:p>
    <w:p w14:paraId="0E0E7108" w14:textId="77777777" w:rsidR="002C5D13" w:rsidRPr="004870C7" w:rsidRDefault="002C5D13" w:rsidP="00FA41FE">
      <w:pPr>
        <w:pStyle w:val="ListParagraph"/>
        <w:numPr>
          <w:ilvl w:val="0"/>
          <w:numId w:val="13"/>
        </w:numPr>
        <w:rPr>
          <w:rFonts w:ascii="Calibri" w:hAnsi="Calibri"/>
          <w:sz w:val="20"/>
          <w:szCs w:val="20"/>
        </w:rPr>
      </w:pPr>
      <w:r w:rsidRPr="004870C7">
        <w:rPr>
          <w:rFonts w:ascii="Calibri" w:hAnsi="Calibri"/>
          <w:sz w:val="20"/>
          <w:szCs w:val="20"/>
        </w:rPr>
        <w:t>Address project issues as raised by the project manager;</w:t>
      </w:r>
    </w:p>
    <w:p w14:paraId="5B12F687" w14:textId="77777777" w:rsidR="002C5D13" w:rsidRPr="004870C7" w:rsidRDefault="002C5D13" w:rsidP="00FA41FE">
      <w:pPr>
        <w:pStyle w:val="ListParagraph"/>
        <w:numPr>
          <w:ilvl w:val="0"/>
          <w:numId w:val="13"/>
        </w:numPr>
        <w:rPr>
          <w:rFonts w:ascii="Calibri" w:hAnsi="Calibri"/>
          <w:sz w:val="20"/>
          <w:szCs w:val="20"/>
        </w:rPr>
      </w:pPr>
      <w:r w:rsidRPr="004870C7">
        <w:rPr>
          <w:rFonts w:ascii="Calibri" w:hAnsi="Calibri"/>
          <w:sz w:val="20"/>
          <w:szCs w:val="20"/>
        </w:rPr>
        <w:t xml:space="preserve">Provide guidance on new project risks, and agree on possible </w:t>
      </w:r>
      <w:r w:rsidR="00354950" w:rsidRPr="004870C7">
        <w:rPr>
          <w:rFonts w:ascii="Calibri" w:hAnsi="Calibri"/>
          <w:sz w:val="20"/>
          <w:szCs w:val="20"/>
        </w:rPr>
        <w:t>mitigation</w:t>
      </w:r>
      <w:r w:rsidRPr="004870C7">
        <w:rPr>
          <w:rFonts w:ascii="Calibri" w:hAnsi="Calibri"/>
          <w:sz w:val="20"/>
          <w:szCs w:val="20"/>
        </w:rPr>
        <w:t xml:space="preserve"> and management actions to address specific risks; </w:t>
      </w:r>
    </w:p>
    <w:p w14:paraId="018882D9" w14:textId="77777777" w:rsidR="00354950" w:rsidRPr="004870C7" w:rsidRDefault="002C5D13" w:rsidP="00FA41FE">
      <w:pPr>
        <w:pStyle w:val="ListParagraph"/>
        <w:numPr>
          <w:ilvl w:val="0"/>
          <w:numId w:val="13"/>
        </w:numPr>
        <w:rPr>
          <w:rFonts w:ascii="Calibri" w:hAnsi="Calibri"/>
          <w:sz w:val="20"/>
          <w:szCs w:val="20"/>
        </w:rPr>
      </w:pPr>
      <w:r w:rsidRPr="004870C7">
        <w:rPr>
          <w:rFonts w:ascii="Calibri" w:hAnsi="Calibri"/>
          <w:sz w:val="20"/>
          <w:szCs w:val="20"/>
        </w:rPr>
        <w:t>Agree on project manager’s tolerances as required</w:t>
      </w:r>
      <w:r w:rsidR="00354950" w:rsidRPr="004870C7">
        <w:rPr>
          <w:rFonts w:ascii="Calibri" w:hAnsi="Calibri"/>
          <w:sz w:val="20"/>
          <w:szCs w:val="20"/>
        </w:rPr>
        <w:t xml:space="preserve">, </w:t>
      </w:r>
      <w:r w:rsidR="006352BB" w:rsidRPr="004870C7">
        <w:rPr>
          <w:rFonts w:ascii="Calibri" w:hAnsi="Calibri"/>
          <w:sz w:val="20"/>
          <w:szCs w:val="20"/>
        </w:rPr>
        <w:t xml:space="preserve">within the parameters set by UNDP-GEF, </w:t>
      </w:r>
      <w:r w:rsidR="00354950" w:rsidRPr="004870C7">
        <w:rPr>
          <w:rFonts w:ascii="Calibri" w:hAnsi="Calibri"/>
          <w:sz w:val="20"/>
          <w:szCs w:val="20"/>
        </w:rPr>
        <w:t>and p</w:t>
      </w:r>
      <w:r w:rsidRPr="004870C7">
        <w:rPr>
          <w:rFonts w:ascii="Calibri" w:hAnsi="Calibri"/>
          <w:sz w:val="20"/>
          <w:szCs w:val="20"/>
        </w:rPr>
        <w:t xml:space="preserve">rovide </w:t>
      </w:r>
      <w:r w:rsidR="00354950" w:rsidRPr="004870C7">
        <w:rPr>
          <w:rFonts w:ascii="Calibri" w:hAnsi="Calibri"/>
          <w:sz w:val="20"/>
          <w:szCs w:val="20"/>
        </w:rPr>
        <w:t>d</w:t>
      </w:r>
      <w:r w:rsidRPr="004870C7">
        <w:rPr>
          <w:rFonts w:ascii="Calibri" w:hAnsi="Calibri"/>
          <w:sz w:val="20"/>
          <w:szCs w:val="20"/>
        </w:rPr>
        <w:t>irection and advice for exceptional situations when the project manager</w:t>
      </w:r>
      <w:r w:rsidR="00354950" w:rsidRPr="004870C7">
        <w:rPr>
          <w:rFonts w:ascii="Calibri" w:hAnsi="Calibri"/>
          <w:sz w:val="20"/>
          <w:szCs w:val="20"/>
        </w:rPr>
        <w:t>’s tolerances are exceeded;</w:t>
      </w:r>
    </w:p>
    <w:p w14:paraId="6D105E39" w14:textId="77777777" w:rsidR="009E370B" w:rsidRPr="004870C7" w:rsidRDefault="00E522E6" w:rsidP="00FA41FE">
      <w:pPr>
        <w:pStyle w:val="ListParagraph"/>
        <w:numPr>
          <w:ilvl w:val="0"/>
          <w:numId w:val="13"/>
        </w:numPr>
        <w:rPr>
          <w:rFonts w:ascii="Calibri" w:hAnsi="Calibri"/>
          <w:sz w:val="20"/>
          <w:szCs w:val="20"/>
        </w:rPr>
      </w:pPr>
      <w:r w:rsidRPr="004870C7">
        <w:rPr>
          <w:rFonts w:ascii="Calibri" w:hAnsi="Calibri"/>
          <w:sz w:val="20"/>
          <w:szCs w:val="20"/>
        </w:rPr>
        <w:t xml:space="preserve">Advise on </w:t>
      </w:r>
      <w:r w:rsidR="00354950" w:rsidRPr="004870C7">
        <w:rPr>
          <w:rFonts w:ascii="Calibri" w:hAnsi="Calibri"/>
          <w:sz w:val="20"/>
          <w:szCs w:val="20"/>
        </w:rPr>
        <w:t>major and minor amendments to the project within the parameters set by UNDP-GEF;</w:t>
      </w:r>
    </w:p>
    <w:p w14:paraId="4E898AA3" w14:textId="77777777" w:rsidR="000C56C6" w:rsidRPr="004870C7" w:rsidRDefault="000C56C6" w:rsidP="00FA41FE">
      <w:pPr>
        <w:pStyle w:val="CharCharChar1"/>
        <w:numPr>
          <w:ilvl w:val="0"/>
          <w:numId w:val="13"/>
        </w:numPr>
        <w:spacing w:after="0" w:line="240" w:lineRule="auto"/>
        <w:rPr>
          <w:szCs w:val="22"/>
        </w:rPr>
      </w:pPr>
      <w:r w:rsidRPr="004870C7">
        <w:t xml:space="preserve">Ensure coordination between various donor and government-funded projects and programmes; </w:t>
      </w:r>
    </w:p>
    <w:p w14:paraId="0D98787E" w14:textId="77777777" w:rsidR="000C56C6" w:rsidRPr="004870C7" w:rsidRDefault="000C56C6" w:rsidP="00FA41FE">
      <w:pPr>
        <w:pStyle w:val="CharCharChar1"/>
        <w:numPr>
          <w:ilvl w:val="0"/>
          <w:numId w:val="13"/>
        </w:numPr>
        <w:spacing w:after="0" w:line="240" w:lineRule="auto"/>
      </w:pPr>
      <w:r w:rsidRPr="004870C7">
        <w:t xml:space="preserve">Ensure coordination with various government agencies and their participation in project activities; </w:t>
      </w:r>
    </w:p>
    <w:p w14:paraId="2D53351E" w14:textId="77777777" w:rsidR="000C56C6" w:rsidRPr="004870C7" w:rsidRDefault="000C56C6" w:rsidP="00FA41FE">
      <w:pPr>
        <w:pStyle w:val="CharCharChar1"/>
        <w:numPr>
          <w:ilvl w:val="0"/>
          <w:numId w:val="13"/>
        </w:numPr>
        <w:spacing w:after="0" w:line="240" w:lineRule="auto"/>
      </w:pPr>
      <w:r w:rsidRPr="004870C7">
        <w:t xml:space="preserve">Track and monitor co-financing for this project; </w:t>
      </w:r>
    </w:p>
    <w:p w14:paraId="6C299457" w14:textId="77777777" w:rsidR="000C56C6" w:rsidRPr="004870C7" w:rsidRDefault="000C56C6" w:rsidP="00FA41FE">
      <w:pPr>
        <w:pStyle w:val="CharCharChar1"/>
        <w:numPr>
          <w:ilvl w:val="0"/>
          <w:numId w:val="13"/>
        </w:numPr>
        <w:spacing w:after="0" w:line="240" w:lineRule="auto"/>
      </w:pPr>
      <w:r w:rsidRPr="004870C7">
        <w:t xml:space="preserve">Review the project progress, assess performance, and appraise the Annual Work Plan for the following year; </w:t>
      </w:r>
    </w:p>
    <w:p w14:paraId="122CC2A6" w14:textId="6CED0BCC" w:rsidR="000C56C6" w:rsidRPr="004870C7" w:rsidRDefault="000C56C6" w:rsidP="00FA41FE">
      <w:pPr>
        <w:pStyle w:val="CharCharChar1"/>
        <w:numPr>
          <w:ilvl w:val="0"/>
          <w:numId w:val="13"/>
        </w:numPr>
        <w:spacing w:after="0" w:line="240" w:lineRule="auto"/>
      </w:pPr>
      <w:r w:rsidRPr="004870C7">
        <w:t xml:space="preserve">Appraise the annual </w:t>
      </w:r>
      <w:r w:rsidR="00775AFE" w:rsidRPr="004870C7">
        <w:t xml:space="preserve">reporting in NC/BTR </w:t>
      </w:r>
      <w:r w:rsidR="00C047BF" w:rsidRPr="004870C7">
        <w:t>survey,</w:t>
      </w:r>
      <w:r w:rsidRPr="004870C7">
        <w:t xml:space="preserve"> including the quality assessment rating report; </w:t>
      </w:r>
    </w:p>
    <w:p w14:paraId="5A34034A" w14:textId="77777777" w:rsidR="000C56C6" w:rsidRPr="004870C7" w:rsidRDefault="000C56C6" w:rsidP="00FA41FE">
      <w:pPr>
        <w:pStyle w:val="CharCharChar1"/>
        <w:numPr>
          <w:ilvl w:val="0"/>
          <w:numId w:val="13"/>
        </w:numPr>
        <w:spacing w:after="0" w:line="240" w:lineRule="auto"/>
      </w:pPr>
      <w:r w:rsidRPr="004870C7">
        <w:t xml:space="preserve">Ensure commitment of human resources to support project implementation, arbitrating any issues within the project; </w:t>
      </w:r>
    </w:p>
    <w:p w14:paraId="49C0E4E3" w14:textId="77777777" w:rsidR="00C80C96" w:rsidRPr="004870C7" w:rsidRDefault="00C80C96" w:rsidP="00FA41FE">
      <w:pPr>
        <w:pStyle w:val="ListParagraph"/>
        <w:numPr>
          <w:ilvl w:val="0"/>
          <w:numId w:val="13"/>
        </w:numPr>
        <w:rPr>
          <w:rFonts w:asciiTheme="minorHAnsi" w:eastAsia="Times New Roman" w:hAnsiTheme="minorHAnsi" w:cstheme="minorHAnsi"/>
          <w:color w:val="000000"/>
          <w:sz w:val="20"/>
          <w:szCs w:val="20"/>
        </w:rPr>
      </w:pPr>
      <w:r w:rsidRPr="004870C7">
        <w:rPr>
          <w:rFonts w:asciiTheme="minorHAnsi" w:eastAsia="Times New Roman" w:hAnsiTheme="minorHAnsi" w:cstheme="minorHAnsi"/>
          <w:color w:val="000000"/>
          <w:sz w:val="20"/>
          <w:szCs w:val="20"/>
        </w:rPr>
        <w:t>Review combined delivery reports prior to certification by the implementing partner;</w:t>
      </w:r>
    </w:p>
    <w:p w14:paraId="0819A69E" w14:textId="77777777" w:rsidR="00354950" w:rsidRPr="004870C7" w:rsidRDefault="00354950" w:rsidP="00FA41FE">
      <w:pPr>
        <w:pStyle w:val="ListParagraph"/>
        <w:numPr>
          <w:ilvl w:val="0"/>
          <w:numId w:val="13"/>
        </w:numPr>
        <w:rPr>
          <w:rFonts w:ascii="Calibri" w:hAnsi="Calibri"/>
          <w:sz w:val="20"/>
          <w:szCs w:val="20"/>
        </w:rPr>
      </w:pPr>
      <w:r w:rsidRPr="004870C7">
        <w:rPr>
          <w:rFonts w:ascii="Calibri" w:hAnsi="Calibri" w:cs="Calibri"/>
          <w:sz w:val="20"/>
          <w:szCs w:val="20"/>
        </w:rPr>
        <w:lastRenderedPageBreak/>
        <w:t>P</w:t>
      </w:r>
      <w:r w:rsidRPr="004870C7">
        <w:rPr>
          <w:rFonts w:ascii="Calibri" w:hAnsi="Calibri"/>
          <w:sz w:val="20"/>
          <w:szCs w:val="20"/>
        </w:rPr>
        <w:t>rovide direction and recommendations to ensure that the agreed deliverables are produced satisfactorily according to plans;</w:t>
      </w:r>
    </w:p>
    <w:p w14:paraId="5B19C02E" w14:textId="77777777" w:rsidR="00354950" w:rsidRPr="004870C7" w:rsidRDefault="00354950" w:rsidP="00FA41FE">
      <w:pPr>
        <w:pStyle w:val="ListParagraph"/>
        <w:numPr>
          <w:ilvl w:val="0"/>
          <w:numId w:val="13"/>
        </w:numPr>
        <w:rPr>
          <w:rFonts w:ascii="Calibri" w:hAnsi="Calibri"/>
          <w:sz w:val="20"/>
          <w:szCs w:val="20"/>
        </w:rPr>
      </w:pPr>
      <w:r w:rsidRPr="004870C7">
        <w:rPr>
          <w:rFonts w:ascii="Calibri" w:hAnsi="Calibri"/>
          <w:sz w:val="20"/>
          <w:szCs w:val="20"/>
        </w:rPr>
        <w:t>Address project</w:t>
      </w:r>
      <w:r w:rsidR="00136B4B" w:rsidRPr="004870C7">
        <w:rPr>
          <w:rFonts w:ascii="Calibri" w:hAnsi="Calibri"/>
          <w:sz w:val="20"/>
          <w:szCs w:val="20"/>
        </w:rPr>
        <w:t>-</w:t>
      </w:r>
      <w:r w:rsidRPr="004870C7">
        <w:rPr>
          <w:rFonts w:ascii="Calibri" w:hAnsi="Calibri"/>
          <w:sz w:val="20"/>
          <w:szCs w:val="20"/>
        </w:rPr>
        <w:t>level grievances;</w:t>
      </w:r>
    </w:p>
    <w:p w14:paraId="05EE9B2D" w14:textId="2E7E9A29" w:rsidR="00354950" w:rsidRPr="004870C7" w:rsidRDefault="00354950" w:rsidP="00FA41FE">
      <w:pPr>
        <w:pStyle w:val="ListParagraph"/>
        <w:numPr>
          <w:ilvl w:val="0"/>
          <w:numId w:val="13"/>
        </w:numPr>
        <w:rPr>
          <w:rFonts w:ascii="Calibri" w:hAnsi="Calibri"/>
          <w:sz w:val="20"/>
          <w:szCs w:val="20"/>
        </w:rPr>
      </w:pPr>
      <w:r w:rsidRPr="004870C7">
        <w:rPr>
          <w:rFonts w:ascii="Calibri" w:hAnsi="Calibri" w:cs="Calibri"/>
          <w:sz w:val="20"/>
          <w:szCs w:val="20"/>
        </w:rPr>
        <w:t>Approve the project Inception Report</w:t>
      </w:r>
      <w:r w:rsidR="00775AFE" w:rsidRPr="004870C7">
        <w:rPr>
          <w:rFonts w:ascii="Calibri" w:hAnsi="Calibri" w:cs="Calibri"/>
          <w:sz w:val="20"/>
          <w:szCs w:val="20"/>
        </w:rPr>
        <w:t xml:space="preserve"> and End of Project Report</w:t>
      </w:r>
      <w:r w:rsidR="00EC700D" w:rsidRPr="004870C7">
        <w:rPr>
          <w:rFonts w:ascii="Calibri" w:hAnsi="Calibri" w:cs="Calibri"/>
          <w:sz w:val="20"/>
          <w:szCs w:val="20"/>
        </w:rPr>
        <w:t xml:space="preserve"> and corresponding management responses</w:t>
      </w:r>
      <w:r w:rsidRPr="004870C7">
        <w:rPr>
          <w:rFonts w:ascii="Calibri" w:hAnsi="Calibri" w:cs="Calibri"/>
          <w:sz w:val="20"/>
          <w:szCs w:val="20"/>
        </w:rPr>
        <w:t>;</w:t>
      </w:r>
    </w:p>
    <w:p w14:paraId="49D4D5C3" w14:textId="77777777" w:rsidR="00731A35" w:rsidRPr="004870C7" w:rsidRDefault="00354950" w:rsidP="00FA41FE">
      <w:pPr>
        <w:numPr>
          <w:ilvl w:val="0"/>
          <w:numId w:val="13"/>
        </w:numPr>
        <w:spacing w:after="0"/>
        <w:jc w:val="left"/>
        <w:rPr>
          <w:rFonts w:cs="Calibri"/>
          <w:szCs w:val="20"/>
        </w:rPr>
      </w:pPr>
      <w:r w:rsidRPr="004870C7">
        <w:rPr>
          <w:rFonts w:cs="Calibri"/>
          <w:szCs w:val="20"/>
        </w:rPr>
        <w:t>Review t</w:t>
      </w:r>
      <w:r w:rsidR="000C06D7" w:rsidRPr="004870C7">
        <w:rPr>
          <w:rFonts w:cs="Calibri"/>
          <w:szCs w:val="20"/>
        </w:rPr>
        <w:t xml:space="preserve">he final project report package during an end-of-project review meeting to discuss lesson learned and opportunities for scaling up.   </w:t>
      </w:r>
    </w:p>
    <w:p w14:paraId="2DC3C77E" w14:textId="674FC7FA" w:rsidR="000C06D7" w:rsidRPr="004870C7" w:rsidRDefault="00FA7166" w:rsidP="00FA41FE">
      <w:pPr>
        <w:numPr>
          <w:ilvl w:val="0"/>
          <w:numId w:val="13"/>
        </w:numPr>
        <w:spacing w:after="0"/>
        <w:jc w:val="left"/>
        <w:rPr>
          <w:rFonts w:cs="Calibri"/>
          <w:szCs w:val="20"/>
        </w:rPr>
      </w:pPr>
      <w:r w:rsidRPr="004870C7">
        <w:rPr>
          <w:rFonts w:cs="Calibri"/>
          <w:szCs w:val="20"/>
        </w:rPr>
        <w:t xml:space="preserve">Ensure highest levels of transparency and take all measures to avoid any real or perceived conflicts of </w:t>
      </w:r>
      <w:r w:rsidR="00E14C16" w:rsidRPr="004870C7">
        <w:rPr>
          <w:rFonts w:cs="Calibri"/>
          <w:szCs w:val="20"/>
        </w:rPr>
        <w:t>interest.</w:t>
      </w:r>
    </w:p>
    <w:p w14:paraId="4AC904D0" w14:textId="77777777" w:rsidR="00354950" w:rsidRPr="004870C7" w:rsidRDefault="00354950" w:rsidP="001354E3">
      <w:pPr>
        <w:shd w:val="clear" w:color="auto" w:fill="FFFFFF"/>
        <w:spacing w:after="0"/>
        <w:jc w:val="left"/>
        <w:rPr>
          <w:szCs w:val="20"/>
        </w:rPr>
      </w:pPr>
    </w:p>
    <w:p w14:paraId="2115B9C5" w14:textId="77777777" w:rsidR="002C5D13" w:rsidRPr="004870C7" w:rsidRDefault="002C5D13" w:rsidP="001354E3">
      <w:pPr>
        <w:shd w:val="clear" w:color="auto" w:fill="FFFFFF"/>
        <w:spacing w:after="0"/>
        <w:jc w:val="left"/>
      </w:pPr>
      <w:r w:rsidRPr="004870C7">
        <w:t xml:space="preserve">The composition of the Project Board must include the following roles: </w:t>
      </w:r>
    </w:p>
    <w:p w14:paraId="59847FCD" w14:textId="77777777" w:rsidR="002C5D13" w:rsidRPr="004870C7" w:rsidRDefault="002C5D13" w:rsidP="001354E3">
      <w:pPr>
        <w:spacing w:after="0"/>
        <w:jc w:val="left"/>
      </w:pPr>
    </w:p>
    <w:p w14:paraId="4B27AF04" w14:textId="4B83AA4A" w:rsidR="002C5D13" w:rsidRPr="004870C7" w:rsidRDefault="001B2B3F" w:rsidP="00FA41FE">
      <w:pPr>
        <w:pStyle w:val="ListParagraph"/>
        <w:numPr>
          <w:ilvl w:val="0"/>
          <w:numId w:val="25"/>
        </w:numPr>
        <w:jc w:val="both"/>
        <w:rPr>
          <w:rFonts w:asciiTheme="minorHAnsi" w:hAnsiTheme="minorHAnsi"/>
          <w:i/>
          <w:sz w:val="20"/>
          <w:szCs w:val="20"/>
        </w:rPr>
      </w:pPr>
      <w:r w:rsidRPr="004870C7">
        <w:rPr>
          <w:rFonts w:asciiTheme="minorHAnsi" w:hAnsiTheme="minorHAnsi"/>
          <w:sz w:val="20"/>
          <w:szCs w:val="20"/>
        </w:rPr>
        <w:t xml:space="preserve">Project </w:t>
      </w:r>
      <w:r w:rsidR="00284BB5" w:rsidRPr="004870C7">
        <w:rPr>
          <w:rFonts w:asciiTheme="minorHAnsi" w:hAnsiTheme="minorHAnsi"/>
          <w:sz w:val="20"/>
          <w:szCs w:val="20"/>
        </w:rPr>
        <w:t>E</w:t>
      </w:r>
      <w:r w:rsidR="008E1835" w:rsidRPr="004870C7">
        <w:rPr>
          <w:rFonts w:asciiTheme="minorHAnsi" w:hAnsiTheme="minorHAnsi"/>
          <w:sz w:val="20"/>
          <w:szCs w:val="20"/>
        </w:rPr>
        <w:t>xecutive</w:t>
      </w:r>
      <w:r w:rsidR="002C5D13" w:rsidRPr="004870C7">
        <w:rPr>
          <w:rFonts w:asciiTheme="minorHAnsi" w:hAnsiTheme="minorHAnsi"/>
          <w:sz w:val="20"/>
          <w:szCs w:val="20"/>
        </w:rPr>
        <w:t xml:space="preserve">: </w:t>
      </w:r>
      <w:r w:rsidR="00F1693B" w:rsidRPr="004870C7">
        <w:rPr>
          <w:rFonts w:asciiTheme="minorHAnsi" w:hAnsiTheme="minorHAnsi"/>
          <w:sz w:val="20"/>
          <w:szCs w:val="20"/>
        </w:rPr>
        <w:t>Is</w:t>
      </w:r>
      <w:r w:rsidR="002C5D13" w:rsidRPr="004870C7">
        <w:rPr>
          <w:rFonts w:asciiTheme="minorHAnsi" w:hAnsiTheme="minorHAnsi"/>
          <w:sz w:val="20"/>
          <w:szCs w:val="20"/>
        </w:rPr>
        <w:t xml:space="preserve"> an individual who represents ownership of the project</w:t>
      </w:r>
      <w:r w:rsidR="009A180E" w:rsidRPr="004870C7">
        <w:rPr>
          <w:rFonts w:asciiTheme="minorHAnsi" w:eastAsia="Times New Roman" w:hAnsiTheme="minorHAnsi" w:cstheme="minorHAnsi"/>
          <w:sz w:val="20"/>
          <w:szCs w:val="20"/>
        </w:rPr>
        <w:t xml:space="preserve"> and chairs the Project Board. The </w:t>
      </w:r>
      <w:r w:rsidR="00C44296" w:rsidRPr="004870C7">
        <w:rPr>
          <w:rFonts w:asciiTheme="minorHAnsi" w:eastAsia="Times New Roman" w:hAnsiTheme="minorHAnsi" w:cstheme="minorHAnsi"/>
          <w:sz w:val="20"/>
          <w:szCs w:val="20"/>
        </w:rPr>
        <w:t>Executive</w:t>
      </w:r>
      <w:r w:rsidR="009A180E" w:rsidRPr="004870C7">
        <w:rPr>
          <w:rFonts w:asciiTheme="minorHAnsi" w:eastAsia="Times New Roman" w:hAnsiTheme="minorHAnsi" w:cstheme="minorHAnsi"/>
          <w:sz w:val="20"/>
          <w:szCs w:val="20"/>
        </w:rPr>
        <w:t xml:space="preserve"> is normally the national counterpart for nationally implemented </w:t>
      </w:r>
      <w:r w:rsidR="00B1351F" w:rsidRPr="004870C7">
        <w:rPr>
          <w:rFonts w:asciiTheme="minorHAnsi" w:eastAsia="Times New Roman" w:hAnsiTheme="minorHAnsi" w:cstheme="minorHAnsi"/>
          <w:sz w:val="20"/>
          <w:szCs w:val="20"/>
        </w:rPr>
        <w:t xml:space="preserve">projects. </w:t>
      </w:r>
      <w:r w:rsidR="002C5D13" w:rsidRPr="004870C7">
        <w:rPr>
          <w:rFonts w:asciiTheme="minorHAnsi" w:hAnsiTheme="minorHAnsi"/>
          <w:sz w:val="20"/>
          <w:szCs w:val="20"/>
        </w:rPr>
        <w:t xml:space="preserve">The </w:t>
      </w:r>
      <w:r w:rsidR="007C1997" w:rsidRPr="004870C7">
        <w:rPr>
          <w:rFonts w:asciiTheme="minorHAnsi" w:hAnsiTheme="minorHAnsi"/>
          <w:sz w:val="20"/>
          <w:szCs w:val="20"/>
        </w:rPr>
        <w:t>Project Executive</w:t>
      </w:r>
      <w:r w:rsidR="002C5D13" w:rsidRPr="004870C7">
        <w:rPr>
          <w:rFonts w:asciiTheme="minorHAnsi" w:hAnsiTheme="minorHAnsi"/>
          <w:sz w:val="20"/>
          <w:szCs w:val="20"/>
        </w:rPr>
        <w:t xml:space="preserve"> is:</w:t>
      </w:r>
      <w:r w:rsidR="00F76C7D" w:rsidRPr="004870C7">
        <w:rPr>
          <w:rFonts w:asciiTheme="minorHAnsi" w:hAnsiTheme="minorHAnsi"/>
          <w:sz w:val="20"/>
          <w:szCs w:val="20"/>
        </w:rPr>
        <w:t xml:space="preserve"> </w:t>
      </w:r>
      <w:r w:rsidR="005C5B75" w:rsidRPr="004870C7">
        <w:rPr>
          <w:rFonts w:asciiTheme="minorHAnsi" w:hAnsiTheme="minorHAnsi"/>
          <w:i/>
          <w:sz w:val="20"/>
          <w:szCs w:val="20"/>
        </w:rPr>
        <w:t>Ministry of Ecology, Spatial Planning and Urbanism</w:t>
      </w:r>
    </w:p>
    <w:p w14:paraId="4B0D4F57" w14:textId="58A98F40" w:rsidR="00284BB5" w:rsidRPr="004870C7" w:rsidRDefault="00284BB5" w:rsidP="00F76C7D">
      <w:pPr>
        <w:spacing w:after="0"/>
        <w:rPr>
          <w:rFonts w:asciiTheme="minorHAnsi" w:hAnsiTheme="minorHAnsi"/>
          <w:szCs w:val="20"/>
        </w:rPr>
      </w:pPr>
    </w:p>
    <w:p w14:paraId="507339DF" w14:textId="3ACE6368" w:rsidR="002C5D13" w:rsidRPr="004870C7" w:rsidRDefault="00F1693B" w:rsidP="00FA41FE">
      <w:pPr>
        <w:pStyle w:val="ListParagraph"/>
        <w:numPr>
          <w:ilvl w:val="0"/>
          <w:numId w:val="25"/>
        </w:numPr>
        <w:jc w:val="both"/>
        <w:rPr>
          <w:rFonts w:asciiTheme="minorHAnsi" w:hAnsiTheme="minorHAnsi" w:cstheme="minorHAnsi"/>
          <w:sz w:val="20"/>
          <w:szCs w:val="20"/>
        </w:rPr>
      </w:pPr>
      <w:r w:rsidRPr="004870C7">
        <w:rPr>
          <w:rFonts w:asciiTheme="minorHAnsi" w:hAnsiTheme="minorHAnsi"/>
          <w:sz w:val="20"/>
          <w:szCs w:val="20"/>
        </w:rPr>
        <w:t>Beneficiary Representative(s)</w:t>
      </w:r>
      <w:r w:rsidR="002C5D13" w:rsidRPr="004870C7">
        <w:rPr>
          <w:rFonts w:asciiTheme="minorHAnsi" w:hAnsiTheme="minorHAnsi"/>
          <w:sz w:val="20"/>
          <w:szCs w:val="20"/>
        </w:rPr>
        <w:t xml:space="preserve">: </w:t>
      </w:r>
      <w:r w:rsidR="008E1835" w:rsidRPr="004870C7">
        <w:rPr>
          <w:rFonts w:asciiTheme="minorHAnsi" w:eastAsia="Times New Roman" w:hAnsiTheme="minorHAnsi" w:cstheme="minorHAnsi"/>
          <w:sz w:val="20"/>
          <w:szCs w:val="20"/>
        </w:rPr>
        <w:t>Individuals or groups representing the interests of those who will ultimately benefit from the project. Their primary function within the board is to ensure the realization of project results from the perspective of project beneficiaries. Often civil society representative(s) can fulfil this role.</w:t>
      </w:r>
      <w:r w:rsidR="00A63227" w:rsidRPr="004870C7">
        <w:rPr>
          <w:rFonts w:asciiTheme="minorHAnsi" w:hAnsiTheme="minorHAnsi" w:cstheme="minorHAnsi"/>
          <w:sz w:val="20"/>
          <w:szCs w:val="20"/>
        </w:rPr>
        <w:t xml:space="preserve"> </w:t>
      </w:r>
      <w:r w:rsidR="002C5D13" w:rsidRPr="004870C7">
        <w:rPr>
          <w:rFonts w:asciiTheme="minorHAnsi" w:hAnsiTheme="minorHAnsi"/>
          <w:sz w:val="20"/>
          <w:szCs w:val="20"/>
        </w:rPr>
        <w:t xml:space="preserve">The </w:t>
      </w:r>
      <w:r w:rsidRPr="004870C7">
        <w:rPr>
          <w:rFonts w:asciiTheme="minorHAnsi" w:hAnsiTheme="minorHAnsi"/>
          <w:sz w:val="20"/>
          <w:szCs w:val="20"/>
        </w:rPr>
        <w:t xml:space="preserve">Beneficiary </w:t>
      </w:r>
      <w:r w:rsidR="00C6291B" w:rsidRPr="004870C7">
        <w:rPr>
          <w:rFonts w:asciiTheme="minorHAnsi" w:hAnsiTheme="minorHAnsi"/>
          <w:sz w:val="20"/>
          <w:szCs w:val="20"/>
        </w:rPr>
        <w:t>r</w:t>
      </w:r>
      <w:r w:rsidRPr="004870C7">
        <w:rPr>
          <w:rFonts w:asciiTheme="minorHAnsi" w:hAnsiTheme="minorHAnsi"/>
          <w:sz w:val="20"/>
          <w:szCs w:val="20"/>
        </w:rPr>
        <w:t>epresentative</w:t>
      </w:r>
      <w:r w:rsidR="00C6291B" w:rsidRPr="004870C7">
        <w:rPr>
          <w:rFonts w:asciiTheme="minorHAnsi" w:hAnsiTheme="minorHAnsi"/>
          <w:sz w:val="20"/>
          <w:szCs w:val="20"/>
        </w:rPr>
        <w:t xml:space="preserve"> (</w:t>
      </w:r>
      <w:r w:rsidRPr="004870C7">
        <w:rPr>
          <w:rFonts w:asciiTheme="minorHAnsi" w:hAnsiTheme="minorHAnsi"/>
          <w:sz w:val="20"/>
          <w:szCs w:val="20"/>
        </w:rPr>
        <w:t>s) is</w:t>
      </w:r>
      <w:r w:rsidR="002C5D13" w:rsidRPr="004870C7">
        <w:rPr>
          <w:rFonts w:asciiTheme="minorHAnsi" w:hAnsiTheme="minorHAnsi"/>
          <w:sz w:val="20"/>
          <w:szCs w:val="20"/>
        </w:rPr>
        <w:t>:</w:t>
      </w:r>
      <w:r w:rsidR="005C5B75" w:rsidRPr="004870C7">
        <w:rPr>
          <w:rFonts w:asciiTheme="minorHAnsi" w:hAnsiTheme="minorHAnsi"/>
          <w:sz w:val="20"/>
          <w:szCs w:val="20"/>
        </w:rPr>
        <w:t xml:space="preserve"> Environment Protection Agency</w:t>
      </w:r>
      <w:r w:rsidR="002C5D13" w:rsidRPr="004870C7">
        <w:rPr>
          <w:rFonts w:asciiTheme="minorHAnsi" w:hAnsiTheme="minorHAnsi"/>
          <w:sz w:val="20"/>
          <w:szCs w:val="20"/>
        </w:rPr>
        <w:t xml:space="preserve"> </w:t>
      </w:r>
    </w:p>
    <w:p w14:paraId="6F7FF521" w14:textId="77777777" w:rsidR="002C5D13" w:rsidRPr="004870C7" w:rsidRDefault="002C5D13" w:rsidP="00F76C7D">
      <w:pPr>
        <w:spacing w:after="0"/>
        <w:rPr>
          <w:rFonts w:asciiTheme="minorHAnsi" w:hAnsiTheme="minorHAnsi"/>
          <w:szCs w:val="20"/>
        </w:rPr>
      </w:pPr>
    </w:p>
    <w:p w14:paraId="09594B38" w14:textId="1A4EDABD" w:rsidR="005C5B75" w:rsidRPr="004870C7" w:rsidRDefault="00241BA7" w:rsidP="00FA41FE">
      <w:pPr>
        <w:pStyle w:val="ListParagraph"/>
        <w:numPr>
          <w:ilvl w:val="0"/>
          <w:numId w:val="25"/>
        </w:numPr>
        <w:jc w:val="both"/>
        <w:rPr>
          <w:rFonts w:asciiTheme="minorHAnsi" w:hAnsiTheme="minorHAnsi" w:cstheme="minorHAnsi"/>
          <w:sz w:val="20"/>
          <w:szCs w:val="20"/>
        </w:rPr>
      </w:pPr>
      <w:r w:rsidRPr="004870C7">
        <w:rPr>
          <w:rFonts w:asciiTheme="minorHAnsi" w:hAnsiTheme="minorHAnsi"/>
          <w:sz w:val="20"/>
          <w:szCs w:val="20"/>
        </w:rPr>
        <w:t>Development Partner(s)</w:t>
      </w:r>
      <w:r w:rsidR="002C5D13" w:rsidRPr="004870C7">
        <w:rPr>
          <w:rFonts w:asciiTheme="minorHAnsi" w:hAnsiTheme="minorHAnsi"/>
          <w:sz w:val="20"/>
          <w:szCs w:val="20"/>
        </w:rPr>
        <w:t xml:space="preserve">: </w:t>
      </w:r>
      <w:r w:rsidR="00A63227" w:rsidRPr="004870C7">
        <w:rPr>
          <w:rFonts w:asciiTheme="minorHAnsi" w:eastAsia="Times New Roman" w:hAnsiTheme="minorHAnsi" w:cstheme="minorHAnsi"/>
          <w:sz w:val="20"/>
          <w:szCs w:val="20"/>
        </w:rPr>
        <w:t xml:space="preserve">Individuals or groups representing the interests of the parties concerned that provide funding and/or technical expertise to the project. </w:t>
      </w:r>
      <w:r w:rsidR="002C5D13" w:rsidRPr="004870C7">
        <w:rPr>
          <w:rFonts w:asciiTheme="minorHAnsi" w:hAnsiTheme="minorHAnsi"/>
          <w:sz w:val="20"/>
          <w:szCs w:val="20"/>
        </w:rPr>
        <w:t xml:space="preserve">The </w:t>
      </w:r>
      <w:r w:rsidR="003F0771" w:rsidRPr="004870C7">
        <w:rPr>
          <w:rFonts w:asciiTheme="minorHAnsi" w:hAnsiTheme="minorHAnsi"/>
          <w:sz w:val="20"/>
          <w:szCs w:val="20"/>
        </w:rPr>
        <w:t>Development Partner(s) is/</w:t>
      </w:r>
      <w:r w:rsidR="002C5D13" w:rsidRPr="004870C7">
        <w:rPr>
          <w:rFonts w:asciiTheme="minorHAnsi" w:hAnsiTheme="minorHAnsi"/>
          <w:sz w:val="20"/>
          <w:szCs w:val="20"/>
        </w:rPr>
        <w:t xml:space="preserve">: </w:t>
      </w:r>
      <w:r w:rsidR="005C5B75" w:rsidRPr="004870C7">
        <w:rPr>
          <w:rFonts w:asciiTheme="minorHAnsi" w:hAnsiTheme="minorHAnsi"/>
          <w:sz w:val="20"/>
          <w:szCs w:val="20"/>
        </w:rPr>
        <w:t>UNDP Montenegro</w:t>
      </w:r>
    </w:p>
    <w:p w14:paraId="52AC5A09" w14:textId="77777777" w:rsidR="00C44296" w:rsidRPr="004870C7" w:rsidRDefault="00C44296" w:rsidP="00F76C7D">
      <w:pPr>
        <w:spacing w:after="0"/>
        <w:ind w:left="360"/>
        <w:rPr>
          <w:rFonts w:asciiTheme="minorHAnsi" w:hAnsiTheme="minorHAnsi"/>
          <w:szCs w:val="20"/>
          <w:u w:val="single"/>
        </w:rPr>
      </w:pPr>
    </w:p>
    <w:p w14:paraId="02A31E95" w14:textId="608249C0" w:rsidR="00C44296" w:rsidRPr="004870C7" w:rsidRDefault="0042237F" w:rsidP="00FA41FE">
      <w:pPr>
        <w:pStyle w:val="ListParagraph"/>
        <w:numPr>
          <w:ilvl w:val="0"/>
          <w:numId w:val="25"/>
        </w:numPr>
        <w:jc w:val="both"/>
        <w:rPr>
          <w:rFonts w:asciiTheme="minorHAnsi" w:hAnsiTheme="minorHAnsi"/>
          <w:i/>
          <w:sz w:val="20"/>
          <w:szCs w:val="20"/>
        </w:rPr>
      </w:pPr>
      <w:r w:rsidRPr="004870C7">
        <w:rPr>
          <w:rFonts w:asciiTheme="minorHAnsi" w:hAnsiTheme="minorHAnsi"/>
          <w:sz w:val="20"/>
          <w:szCs w:val="20"/>
        </w:rPr>
        <w:t xml:space="preserve">Project Assurance: </w:t>
      </w:r>
      <w:r w:rsidR="00C44296" w:rsidRPr="004870C7">
        <w:rPr>
          <w:rFonts w:asciiTheme="minorHAnsi" w:hAnsiTheme="minorHAnsi"/>
          <w:sz w:val="20"/>
          <w:szCs w:val="20"/>
        </w:rPr>
        <w:t>UNDP performs the quality assuranc</w:t>
      </w:r>
      <w:r w:rsidR="007F33B5" w:rsidRPr="004870C7">
        <w:rPr>
          <w:rFonts w:asciiTheme="minorHAnsi" w:hAnsiTheme="minorHAnsi"/>
          <w:sz w:val="20"/>
          <w:szCs w:val="20"/>
        </w:rPr>
        <w:t>e</w:t>
      </w:r>
      <w:r w:rsidR="00121C4F" w:rsidRPr="004870C7">
        <w:rPr>
          <w:rFonts w:asciiTheme="minorHAnsi" w:hAnsiTheme="minorHAnsi"/>
          <w:sz w:val="20"/>
          <w:szCs w:val="20"/>
        </w:rPr>
        <w:t xml:space="preserve"> </w:t>
      </w:r>
      <w:r w:rsidR="00C44296" w:rsidRPr="004870C7">
        <w:rPr>
          <w:rFonts w:asciiTheme="minorHAnsi" w:hAnsiTheme="minorHAnsi"/>
          <w:sz w:val="20"/>
          <w:szCs w:val="20"/>
        </w:rPr>
        <w:t>and supports the Project Board and Project Management Unit by carrying out objective and independent project oversight and monitoring functions. This role ensures appropriate project management milestones are managed and completed</w:t>
      </w:r>
      <w:r w:rsidR="007632CF" w:rsidRPr="004870C7">
        <w:rPr>
          <w:rFonts w:asciiTheme="minorHAnsi" w:hAnsiTheme="minorHAnsi"/>
          <w:sz w:val="20"/>
          <w:szCs w:val="20"/>
        </w:rPr>
        <w:t xml:space="preserve">, </w:t>
      </w:r>
      <w:r w:rsidR="008F1020" w:rsidRPr="004870C7">
        <w:rPr>
          <w:rFonts w:asciiTheme="minorHAnsi" w:hAnsiTheme="minorHAnsi"/>
          <w:sz w:val="20"/>
          <w:szCs w:val="20"/>
        </w:rPr>
        <w:t xml:space="preserve">and </w:t>
      </w:r>
      <w:r w:rsidR="007632CF" w:rsidRPr="004870C7">
        <w:rPr>
          <w:rFonts w:asciiTheme="minorHAnsi" w:hAnsiTheme="minorHAnsi"/>
          <w:sz w:val="20"/>
          <w:szCs w:val="20"/>
        </w:rPr>
        <w:t>conflict of interest issues are monitored and addressed</w:t>
      </w:r>
      <w:r w:rsidR="00C44296" w:rsidRPr="004870C7">
        <w:rPr>
          <w:rFonts w:asciiTheme="minorHAnsi" w:hAnsiTheme="minorHAnsi"/>
          <w:sz w:val="20"/>
          <w:szCs w:val="20"/>
        </w:rPr>
        <w:t>. The Project Board cannot delegate any of its quality assurance responsibilities to the Project Manager. </w:t>
      </w:r>
      <w:r w:rsidRPr="004870C7">
        <w:rPr>
          <w:rFonts w:asciiTheme="minorHAnsi" w:hAnsiTheme="minorHAnsi"/>
          <w:sz w:val="20"/>
          <w:szCs w:val="20"/>
        </w:rPr>
        <w:t xml:space="preserve">UNDP provides a three – tier oversight services involving </w:t>
      </w:r>
      <w:r w:rsidR="006843B8" w:rsidRPr="004870C7">
        <w:rPr>
          <w:rFonts w:asciiTheme="minorHAnsi" w:hAnsiTheme="minorHAnsi"/>
          <w:sz w:val="20"/>
          <w:szCs w:val="20"/>
        </w:rPr>
        <w:t xml:space="preserve">the </w:t>
      </w:r>
      <w:r w:rsidRPr="004870C7">
        <w:rPr>
          <w:rFonts w:asciiTheme="minorHAnsi" w:hAnsiTheme="minorHAnsi"/>
          <w:sz w:val="20"/>
          <w:szCs w:val="20"/>
        </w:rPr>
        <w:t xml:space="preserve">UNDP Country Offices and </w:t>
      </w:r>
      <w:r w:rsidR="006843B8" w:rsidRPr="004870C7">
        <w:rPr>
          <w:rFonts w:asciiTheme="minorHAnsi" w:hAnsiTheme="minorHAnsi"/>
          <w:sz w:val="20"/>
          <w:szCs w:val="20"/>
        </w:rPr>
        <w:t xml:space="preserve">UNDP </w:t>
      </w:r>
      <w:r w:rsidRPr="004870C7">
        <w:rPr>
          <w:rFonts w:asciiTheme="minorHAnsi" w:hAnsiTheme="minorHAnsi"/>
          <w:sz w:val="20"/>
          <w:szCs w:val="20"/>
        </w:rPr>
        <w:t xml:space="preserve">at regional and headquarters levels. Project assurance is totally independent of </w:t>
      </w:r>
      <w:r w:rsidR="008F64A6" w:rsidRPr="004870C7">
        <w:rPr>
          <w:rFonts w:asciiTheme="minorHAnsi" w:hAnsiTheme="minorHAnsi"/>
          <w:sz w:val="20"/>
          <w:szCs w:val="20"/>
        </w:rPr>
        <w:t>project execution.</w:t>
      </w:r>
    </w:p>
    <w:p w14:paraId="4B82C7D0" w14:textId="77777777" w:rsidR="00C44296" w:rsidRPr="004870C7" w:rsidRDefault="00C44296" w:rsidP="001354E3">
      <w:pPr>
        <w:spacing w:after="0"/>
        <w:jc w:val="left"/>
        <w:rPr>
          <w:rFonts w:cs="Arial"/>
          <w:b/>
          <w:szCs w:val="20"/>
          <w:lang w:eastAsia="zh-CN"/>
        </w:rPr>
      </w:pPr>
    </w:p>
    <w:p w14:paraId="059133AB" w14:textId="015436F3" w:rsidR="003644BD" w:rsidRPr="004870C7" w:rsidRDefault="006368D7" w:rsidP="00F76C7D">
      <w:pPr>
        <w:spacing w:after="0"/>
        <w:rPr>
          <w:rFonts w:cs="Arial"/>
          <w:szCs w:val="20"/>
          <w:lang w:eastAsia="zh-CN"/>
        </w:rPr>
      </w:pPr>
      <w:r w:rsidRPr="004870C7">
        <w:rPr>
          <w:rFonts w:cs="Arial"/>
          <w:b/>
          <w:szCs w:val="20"/>
          <w:lang w:eastAsia="zh-CN"/>
        </w:rPr>
        <w:t>Project extensions:</w:t>
      </w:r>
      <w:r w:rsidR="005F6F56" w:rsidRPr="004870C7">
        <w:rPr>
          <w:rFonts w:cs="Arial"/>
          <w:b/>
          <w:szCs w:val="20"/>
          <w:lang w:eastAsia="zh-CN"/>
        </w:rPr>
        <w:t xml:space="preserve"> </w:t>
      </w:r>
      <w:r w:rsidR="005F6F56" w:rsidRPr="004870C7">
        <w:rPr>
          <w:rFonts w:cs="Arial"/>
          <w:szCs w:val="20"/>
          <w:lang w:eastAsia="zh-CN"/>
        </w:rPr>
        <w:t>Th</w:t>
      </w:r>
      <w:r w:rsidR="00E81451" w:rsidRPr="004870C7">
        <w:rPr>
          <w:rFonts w:cs="Arial"/>
          <w:szCs w:val="20"/>
          <w:lang w:eastAsia="zh-CN"/>
        </w:rPr>
        <w:t xml:space="preserve">e </w:t>
      </w:r>
      <w:r w:rsidR="006C1BC1" w:rsidRPr="004870C7">
        <w:rPr>
          <w:rFonts w:cs="Arial"/>
          <w:szCs w:val="20"/>
          <w:lang w:eastAsia="zh-CN"/>
        </w:rPr>
        <w:t xml:space="preserve">UNDP Resident Representative and the </w:t>
      </w:r>
      <w:r w:rsidR="00E81451" w:rsidRPr="004870C7">
        <w:rPr>
          <w:rFonts w:cs="Arial"/>
          <w:szCs w:val="20"/>
          <w:lang w:eastAsia="zh-CN"/>
        </w:rPr>
        <w:t xml:space="preserve">UNDP-GEF </w:t>
      </w:r>
      <w:r w:rsidR="00EE5D8E" w:rsidRPr="004870C7">
        <w:rPr>
          <w:rFonts w:cs="Arial"/>
          <w:szCs w:val="20"/>
          <w:lang w:eastAsia="zh-CN"/>
        </w:rPr>
        <w:t xml:space="preserve">Executive Coordinator </w:t>
      </w:r>
      <w:r w:rsidR="00DA1CBD" w:rsidRPr="004870C7">
        <w:rPr>
          <w:rFonts w:cs="Arial"/>
          <w:szCs w:val="20"/>
          <w:lang w:eastAsia="zh-CN"/>
        </w:rPr>
        <w:t>must approve a</w:t>
      </w:r>
      <w:r w:rsidR="003C0423" w:rsidRPr="004870C7">
        <w:rPr>
          <w:rFonts w:cs="Arial"/>
          <w:szCs w:val="20"/>
          <w:lang w:eastAsia="zh-CN"/>
        </w:rPr>
        <w:t xml:space="preserve">ll project extension requests. </w:t>
      </w:r>
      <w:r w:rsidR="00DA1CBD" w:rsidRPr="004870C7">
        <w:rPr>
          <w:rFonts w:cs="Arial"/>
          <w:szCs w:val="20"/>
          <w:lang w:eastAsia="zh-CN"/>
        </w:rPr>
        <w:t xml:space="preserve">Note that all extensions incur costs and the </w:t>
      </w:r>
      <w:r w:rsidR="00652BD9" w:rsidRPr="004870C7">
        <w:rPr>
          <w:rFonts w:cs="Arial"/>
          <w:szCs w:val="20"/>
          <w:lang w:eastAsia="zh-CN"/>
        </w:rPr>
        <w:t xml:space="preserve">GEF </w:t>
      </w:r>
      <w:r w:rsidR="00D53363" w:rsidRPr="004870C7">
        <w:rPr>
          <w:rFonts w:cs="Arial"/>
          <w:szCs w:val="20"/>
          <w:lang w:eastAsia="zh-CN"/>
        </w:rPr>
        <w:t>project budget cannot be increased</w:t>
      </w:r>
      <w:r w:rsidR="00E81451" w:rsidRPr="004870C7">
        <w:rPr>
          <w:rFonts w:cs="Arial"/>
          <w:szCs w:val="20"/>
          <w:lang w:eastAsia="zh-CN"/>
        </w:rPr>
        <w:t xml:space="preserve">. </w:t>
      </w:r>
      <w:r w:rsidR="000F3BFC" w:rsidRPr="004870C7">
        <w:rPr>
          <w:rFonts w:cs="Arial"/>
          <w:szCs w:val="20"/>
          <w:lang w:eastAsia="zh-CN"/>
        </w:rPr>
        <w:t xml:space="preserve">A single </w:t>
      </w:r>
      <w:r w:rsidR="00D53363" w:rsidRPr="004870C7">
        <w:rPr>
          <w:rFonts w:cs="Arial"/>
          <w:szCs w:val="20"/>
          <w:lang w:eastAsia="zh-CN"/>
        </w:rPr>
        <w:t xml:space="preserve">extension </w:t>
      </w:r>
      <w:r w:rsidR="000F3BFC" w:rsidRPr="004870C7">
        <w:rPr>
          <w:rFonts w:cs="Arial"/>
          <w:szCs w:val="20"/>
          <w:lang w:eastAsia="zh-CN"/>
        </w:rPr>
        <w:t>may</w:t>
      </w:r>
      <w:r w:rsidR="00E81451" w:rsidRPr="004870C7">
        <w:rPr>
          <w:rFonts w:cs="Arial"/>
          <w:szCs w:val="20"/>
          <w:lang w:eastAsia="zh-CN"/>
        </w:rPr>
        <w:t xml:space="preserve"> be granted </w:t>
      </w:r>
      <w:r w:rsidR="00653AB6" w:rsidRPr="004870C7">
        <w:rPr>
          <w:rFonts w:cs="Arial"/>
          <w:szCs w:val="20"/>
          <w:lang w:eastAsia="zh-CN"/>
        </w:rPr>
        <w:t>on an exception</w:t>
      </w:r>
      <w:r w:rsidR="00652BD9" w:rsidRPr="004870C7">
        <w:rPr>
          <w:rFonts w:cs="Arial"/>
          <w:szCs w:val="20"/>
          <w:lang w:eastAsia="zh-CN"/>
        </w:rPr>
        <w:t>al</w:t>
      </w:r>
      <w:r w:rsidR="00653AB6" w:rsidRPr="004870C7">
        <w:rPr>
          <w:rFonts w:cs="Arial"/>
          <w:szCs w:val="20"/>
          <w:lang w:eastAsia="zh-CN"/>
        </w:rPr>
        <w:t xml:space="preserve"> basis and </w:t>
      </w:r>
      <w:r w:rsidR="00D53363" w:rsidRPr="004870C7">
        <w:rPr>
          <w:rFonts w:cs="Arial"/>
          <w:szCs w:val="20"/>
          <w:lang w:eastAsia="zh-CN"/>
        </w:rPr>
        <w:t xml:space="preserve">only if the </w:t>
      </w:r>
      <w:r w:rsidR="00E81451" w:rsidRPr="004870C7">
        <w:rPr>
          <w:rFonts w:cs="Arial"/>
          <w:szCs w:val="20"/>
          <w:lang w:eastAsia="zh-CN"/>
        </w:rPr>
        <w:t xml:space="preserve">following conditions are met: </w:t>
      </w:r>
      <w:r w:rsidR="00653AB6" w:rsidRPr="004870C7">
        <w:rPr>
          <w:rFonts w:cs="Arial"/>
          <w:szCs w:val="20"/>
          <w:lang w:eastAsia="zh-CN"/>
        </w:rPr>
        <w:t xml:space="preserve">one extension </w:t>
      </w:r>
      <w:r w:rsidR="006C0E7E" w:rsidRPr="004870C7">
        <w:rPr>
          <w:rFonts w:cs="Arial"/>
          <w:szCs w:val="20"/>
          <w:lang w:eastAsia="zh-CN"/>
        </w:rPr>
        <w:t xml:space="preserve">only </w:t>
      </w:r>
      <w:r w:rsidR="00CE6756" w:rsidRPr="004870C7">
        <w:rPr>
          <w:rFonts w:cs="Arial"/>
          <w:szCs w:val="20"/>
          <w:lang w:eastAsia="zh-CN"/>
        </w:rPr>
        <w:t>for a project for a maximum of six months</w:t>
      </w:r>
      <w:r w:rsidR="006C0E7E" w:rsidRPr="004870C7">
        <w:rPr>
          <w:rFonts w:cs="Arial"/>
          <w:szCs w:val="20"/>
          <w:lang w:eastAsia="zh-CN"/>
        </w:rPr>
        <w:t xml:space="preserve">; </w:t>
      </w:r>
      <w:r w:rsidR="003644BD" w:rsidRPr="004870C7">
        <w:rPr>
          <w:rFonts w:cs="Arial"/>
          <w:szCs w:val="20"/>
          <w:lang w:eastAsia="zh-CN"/>
        </w:rPr>
        <w:t xml:space="preserve">the </w:t>
      </w:r>
      <w:r w:rsidR="006C0E7E" w:rsidRPr="004870C7">
        <w:rPr>
          <w:rFonts w:cs="Arial"/>
          <w:szCs w:val="20"/>
          <w:lang w:eastAsia="zh-CN"/>
        </w:rPr>
        <w:t>p</w:t>
      </w:r>
      <w:r w:rsidR="003644BD" w:rsidRPr="004870C7">
        <w:rPr>
          <w:rFonts w:cs="Arial"/>
          <w:szCs w:val="20"/>
          <w:lang w:eastAsia="zh-CN"/>
        </w:rPr>
        <w:t xml:space="preserve">roject management costs during the extension period </w:t>
      </w:r>
      <w:r w:rsidR="006C0E7E" w:rsidRPr="004870C7">
        <w:rPr>
          <w:rFonts w:cs="Arial"/>
          <w:szCs w:val="20"/>
          <w:lang w:eastAsia="zh-CN"/>
        </w:rPr>
        <w:t>must remain</w:t>
      </w:r>
      <w:r w:rsidR="003644BD" w:rsidRPr="004870C7">
        <w:rPr>
          <w:rFonts w:cs="Arial"/>
          <w:szCs w:val="20"/>
          <w:lang w:eastAsia="zh-CN"/>
        </w:rPr>
        <w:t xml:space="preserve"> within the or</w:t>
      </w:r>
      <w:r w:rsidR="006C0E7E" w:rsidRPr="004870C7">
        <w:rPr>
          <w:rFonts w:cs="Arial"/>
          <w:szCs w:val="20"/>
          <w:lang w:eastAsia="zh-CN"/>
        </w:rPr>
        <w:t>iginally</w:t>
      </w:r>
      <w:r w:rsidR="003644BD" w:rsidRPr="004870C7">
        <w:rPr>
          <w:rFonts w:cs="Arial"/>
          <w:szCs w:val="20"/>
          <w:lang w:eastAsia="zh-CN"/>
        </w:rPr>
        <w:t xml:space="preserve"> approved amount</w:t>
      </w:r>
      <w:r w:rsidR="00A57E5C" w:rsidRPr="004870C7">
        <w:rPr>
          <w:rFonts w:cs="Arial"/>
          <w:szCs w:val="20"/>
          <w:lang w:eastAsia="zh-CN"/>
        </w:rPr>
        <w:t>,</w:t>
      </w:r>
      <w:r w:rsidR="003644BD" w:rsidRPr="004870C7">
        <w:rPr>
          <w:rFonts w:cs="Arial"/>
          <w:szCs w:val="20"/>
          <w:lang w:eastAsia="zh-CN"/>
        </w:rPr>
        <w:t xml:space="preserve"> and any increase in PMC costs will be covered by non</w:t>
      </w:r>
      <w:r w:rsidR="0073717A" w:rsidRPr="004870C7">
        <w:rPr>
          <w:rFonts w:cs="Arial"/>
          <w:szCs w:val="20"/>
          <w:lang w:eastAsia="zh-CN"/>
        </w:rPr>
        <w:t>-</w:t>
      </w:r>
      <w:r w:rsidR="003644BD" w:rsidRPr="004870C7">
        <w:rPr>
          <w:rFonts w:cs="Arial"/>
          <w:szCs w:val="20"/>
          <w:lang w:eastAsia="zh-CN"/>
        </w:rPr>
        <w:t>GEF res</w:t>
      </w:r>
      <w:r w:rsidR="006C0E7E" w:rsidRPr="004870C7">
        <w:rPr>
          <w:rFonts w:cs="Arial"/>
          <w:szCs w:val="20"/>
          <w:lang w:eastAsia="zh-CN"/>
        </w:rPr>
        <w:t>ources</w:t>
      </w:r>
      <w:r w:rsidR="003644BD" w:rsidRPr="004870C7">
        <w:rPr>
          <w:rFonts w:cs="Arial"/>
          <w:szCs w:val="20"/>
          <w:lang w:eastAsia="zh-CN"/>
        </w:rPr>
        <w:t>; the</w:t>
      </w:r>
      <w:r w:rsidR="0073717A" w:rsidRPr="004870C7">
        <w:rPr>
          <w:rFonts w:cs="Arial"/>
          <w:szCs w:val="20"/>
          <w:lang w:eastAsia="zh-CN"/>
        </w:rPr>
        <w:t xml:space="preserve"> UNDP Country Office</w:t>
      </w:r>
      <w:r w:rsidR="003644BD" w:rsidRPr="004870C7">
        <w:rPr>
          <w:rFonts w:cs="Arial"/>
          <w:szCs w:val="20"/>
          <w:lang w:eastAsia="zh-CN"/>
        </w:rPr>
        <w:t xml:space="preserve"> oversight costs </w:t>
      </w:r>
      <w:r w:rsidR="0016121C" w:rsidRPr="004870C7">
        <w:rPr>
          <w:rFonts w:cs="Arial"/>
          <w:szCs w:val="20"/>
          <w:lang w:eastAsia="zh-CN"/>
        </w:rPr>
        <w:t xml:space="preserve">in excess of the CO’s Agency fee specified in the DOA </w:t>
      </w:r>
      <w:r w:rsidR="0073717A" w:rsidRPr="004870C7">
        <w:rPr>
          <w:rFonts w:cs="Arial"/>
          <w:szCs w:val="20"/>
          <w:lang w:eastAsia="zh-CN"/>
        </w:rPr>
        <w:t xml:space="preserve">during the extension period must be </w:t>
      </w:r>
      <w:r w:rsidR="003644BD" w:rsidRPr="004870C7">
        <w:rPr>
          <w:rFonts w:cs="Arial"/>
          <w:szCs w:val="20"/>
          <w:lang w:eastAsia="zh-CN"/>
        </w:rPr>
        <w:t>covered by non</w:t>
      </w:r>
      <w:r w:rsidR="0073717A" w:rsidRPr="004870C7">
        <w:rPr>
          <w:rFonts w:cs="Arial"/>
          <w:szCs w:val="20"/>
          <w:lang w:eastAsia="zh-CN"/>
        </w:rPr>
        <w:t>-</w:t>
      </w:r>
      <w:r w:rsidR="003644BD" w:rsidRPr="004870C7">
        <w:rPr>
          <w:rFonts w:cs="Arial"/>
          <w:szCs w:val="20"/>
          <w:lang w:eastAsia="zh-CN"/>
        </w:rPr>
        <w:t>GEF reso</w:t>
      </w:r>
      <w:r w:rsidR="00724E46" w:rsidRPr="004870C7">
        <w:rPr>
          <w:rFonts w:cs="Arial"/>
          <w:szCs w:val="20"/>
          <w:lang w:eastAsia="zh-CN"/>
        </w:rPr>
        <w:t>urces</w:t>
      </w:r>
      <w:r w:rsidR="003644BD" w:rsidRPr="004870C7">
        <w:rPr>
          <w:rFonts w:cs="Arial"/>
          <w:szCs w:val="20"/>
          <w:lang w:eastAsia="zh-CN"/>
        </w:rPr>
        <w:t>.</w:t>
      </w:r>
      <w:r w:rsidR="0016121C" w:rsidRPr="004870C7">
        <w:t xml:space="preserve"> </w:t>
      </w:r>
    </w:p>
    <w:p w14:paraId="0D41AA31" w14:textId="71A9344A" w:rsidR="005C620C" w:rsidRPr="004870C7" w:rsidRDefault="005C620C" w:rsidP="003644BD">
      <w:pPr>
        <w:spacing w:after="0"/>
        <w:jc w:val="left"/>
        <w:rPr>
          <w:rFonts w:cs="Arial"/>
          <w:szCs w:val="20"/>
          <w:lang w:eastAsia="zh-CN"/>
        </w:rPr>
      </w:pPr>
    </w:p>
    <w:p w14:paraId="0347E270" w14:textId="349316E0" w:rsidR="00714595" w:rsidRPr="004870C7" w:rsidRDefault="00714595">
      <w:pPr>
        <w:spacing w:after="0"/>
        <w:jc w:val="left"/>
        <w:rPr>
          <w:rFonts w:cs="Arial"/>
          <w:szCs w:val="20"/>
          <w:lang w:eastAsia="zh-CN"/>
        </w:rPr>
      </w:pPr>
      <w:r w:rsidRPr="004870C7">
        <w:rPr>
          <w:rFonts w:cs="Arial"/>
          <w:szCs w:val="20"/>
          <w:lang w:eastAsia="zh-CN"/>
        </w:rPr>
        <w:br w:type="page"/>
      </w:r>
    </w:p>
    <w:p w14:paraId="0C931476" w14:textId="0F838D8D" w:rsidR="00E54683" w:rsidRPr="004870C7" w:rsidRDefault="00E54683" w:rsidP="003644BD">
      <w:pPr>
        <w:spacing w:after="0"/>
        <w:jc w:val="left"/>
        <w:rPr>
          <w:rFonts w:cs="Arial"/>
          <w:szCs w:val="20"/>
          <w:lang w:eastAsia="zh-CN"/>
        </w:rPr>
      </w:pPr>
    </w:p>
    <w:p w14:paraId="5089DBE7" w14:textId="77777777" w:rsidR="003E3ABA" w:rsidRPr="004870C7" w:rsidRDefault="003E3ABA" w:rsidP="00A04E6F">
      <w:pPr>
        <w:pStyle w:val="Heading1"/>
        <w:spacing w:before="0" w:after="0"/>
        <w:rPr>
          <w:rFonts w:ascii="Calibri" w:hAnsi="Calibri"/>
        </w:rPr>
      </w:pPr>
      <w:bookmarkStart w:id="19" w:name="_Toc75965552"/>
      <w:r w:rsidRPr="004870C7">
        <w:rPr>
          <w:rFonts w:ascii="Calibri" w:hAnsi="Calibri"/>
        </w:rPr>
        <w:t>Financial Planning and Management</w:t>
      </w:r>
      <w:bookmarkEnd w:id="19"/>
      <w:r w:rsidRPr="004870C7">
        <w:rPr>
          <w:rFonts w:ascii="Calibri" w:hAnsi="Calibri"/>
        </w:rPr>
        <w:t xml:space="preserve"> </w:t>
      </w:r>
    </w:p>
    <w:p w14:paraId="53C61E49" w14:textId="77777777" w:rsidR="006674A2" w:rsidRPr="004870C7" w:rsidRDefault="006674A2" w:rsidP="00A04E6F">
      <w:pPr>
        <w:autoSpaceDE w:val="0"/>
        <w:autoSpaceDN w:val="0"/>
        <w:adjustRightInd w:val="0"/>
        <w:spacing w:after="0"/>
        <w:jc w:val="left"/>
        <w:rPr>
          <w:b/>
          <w:i/>
          <w:color w:val="000000"/>
          <w:szCs w:val="20"/>
        </w:rPr>
      </w:pPr>
    </w:p>
    <w:p w14:paraId="3C42EAD1" w14:textId="7A3B97C2" w:rsidR="003E3ABA" w:rsidRPr="004870C7" w:rsidRDefault="003E3ABA" w:rsidP="00BD4791">
      <w:pPr>
        <w:autoSpaceDE w:val="0"/>
        <w:autoSpaceDN w:val="0"/>
        <w:adjustRightInd w:val="0"/>
        <w:spacing w:after="0"/>
        <w:rPr>
          <w:color w:val="000000"/>
          <w:szCs w:val="20"/>
        </w:rPr>
      </w:pPr>
      <w:r w:rsidRPr="004870C7">
        <w:rPr>
          <w:color w:val="000000"/>
          <w:szCs w:val="20"/>
        </w:rPr>
        <w:t xml:space="preserve">The total cost of the project is </w:t>
      </w:r>
      <w:r w:rsidR="00E54683" w:rsidRPr="004870C7">
        <w:rPr>
          <w:color w:val="000000"/>
          <w:szCs w:val="20"/>
        </w:rPr>
        <w:t xml:space="preserve">USD </w:t>
      </w:r>
      <w:r w:rsidR="006F5187">
        <w:rPr>
          <w:iCs/>
          <w:color w:val="000000"/>
          <w:szCs w:val="20"/>
        </w:rPr>
        <w:t>6</w:t>
      </w:r>
      <w:r w:rsidR="00F76C7D" w:rsidRPr="004870C7">
        <w:rPr>
          <w:iCs/>
          <w:color w:val="000000"/>
          <w:szCs w:val="20"/>
        </w:rPr>
        <w:t>17</w:t>
      </w:r>
      <w:r w:rsidR="00E54E40" w:rsidRPr="004870C7">
        <w:rPr>
          <w:iCs/>
          <w:color w:val="000000"/>
          <w:szCs w:val="20"/>
        </w:rPr>
        <w:t>,</w:t>
      </w:r>
      <w:r w:rsidR="00F76C7D" w:rsidRPr="004870C7">
        <w:rPr>
          <w:iCs/>
          <w:color w:val="000000"/>
          <w:szCs w:val="20"/>
        </w:rPr>
        <w:t>000</w:t>
      </w:r>
      <w:r w:rsidRPr="004870C7">
        <w:rPr>
          <w:iCs/>
          <w:color w:val="000000"/>
          <w:szCs w:val="20"/>
        </w:rPr>
        <w:t>.</w:t>
      </w:r>
      <w:r w:rsidRPr="004870C7">
        <w:rPr>
          <w:i/>
          <w:color w:val="000000"/>
          <w:szCs w:val="20"/>
        </w:rPr>
        <w:t xml:space="preserve"> </w:t>
      </w:r>
      <w:r w:rsidRPr="004870C7">
        <w:rPr>
          <w:color w:val="000000"/>
          <w:szCs w:val="20"/>
        </w:rPr>
        <w:t xml:space="preserve">This is financed through a GEF grant of </w:t>
      </w:r>
      <w:r w:rsidRPr="004870C7">
        <w:rPr>
          <w:iCs/>
          <w:color w:val="000000"/>
          <w:szCs w:val="20"/>
        </w:rPr>
        <w:t>USD</w:t>
      </w:r>
      <w:r w:rsidRPr="004870C7">
        <w:rPr>
          <w:i/>
          <w:color w:val="000000"/>
          <w:szCs w:val="20"/>
        </w:rPr>
        <w:t xml:space="preserve"> </w:t>
      </w:r>
      <w:r w:rsidR="00672FF8" w:rsidRPr="004870C7">
        <w:rPr>
          <w:color w:val="000000"/>
          <w:szCs w:val="20"/>
        </w:rPr>
        <w:t>517</w:t>
      </w:r>
      <w:r w:rsidR="00E54E40" w:rsidRPr="004870C7">
        <w:rPr>
          <w:color w:val="000000"/>
          <w:szCs w:val="20"/>
        </w:rPr>
        <w:t>,</w:t>
      </w:r>
      <w:r w:rsidR="00672FF8" w:rsidRPr="004870C7">
        <w:rPr>
          <w:color w:val="000000"/>
          <w:szCs w:val="20"/>
        </w:rPr>
        <w:t>000</w:t>
      </w:r>
      <w:r w:rsidR="00C82F2C" w:rsidRPr="004870C7">
        <w:rPr>
          <w:color w:val="000000"/>
          <w:szCs w:val="20"/>
        </w:rPr>
        <w:t xml:space="preserve"> administered by UNDP</w:t>
      </w:r>
      <w:r w:rsidR="006F5187">
        <w:rPr>
          <w:color w:val="000000"/>
          <w:szCs w:val="20"/>
        </w:rPr>
        <w:t xml:space="preserve"> and additional support of USD 100,000 provided as in-kind co-financing by the Implementing Partner</w:t>
      </w:r>
      <w:r w:rsidR="00CC32FB" w:rsidRPr="004870C7">
        <w:rPr>
          <w:color w:val="000000"/>
          <w:szCs w:val="20"/>
        </w:rPr>
        <w:t xml:space="preserve">. </w:t>
      </w:r>
      <w:r w:rsidRPr="004870C7">
        <w:rPr>
          <w:color w:val="000000"/>
          <w:szCs w:val="20"/>
        </w:rPr>
        <w:t>UNDP, as the GEF Implementing Agency, is responsible for the</w:t>
      </w:r>
      <w:r w:rsidR="00D308B6" w:rsidRPr="004870C7">
        <w:rPr>
          <w:color w:val="000000"/>
          <w:szCs w:val="20"/>
        </w:rPr>
        <w:t xml:space="preserve"> oversight</w:t>
      </w:r>
      <w:r w:rsidRPr="004870C7">
        <w:rPr>
          <w:color w:val="000000"/>
          <w:szCs w:val="20"/>
        </w:rPr>
        <w:t xml:space="preserve"> of the GEF resources and the </w:t>
      </w:r>
      <w:r w:rsidRPr="004870C7">
        <w:rPr>
          <w:color w:val="000000"/>
          <w:szCs w:val="20"/>
          <w:lang w:eastAsia="zh-CN"/>
        </w:rPr>
        <w:t>cash co-financing transferred to UNDP bank account only</w:t>
      </w:r>
      <w:r w:rsidRPr="004870C7">
        <w:rPr>
          <w:color w:val="000000"/>
          <w:szCs w:val="20"/>
        </w:rPr>
        <w:t xml:space="preserve">.   </w:t>
      </w:r>
    </w:p>
    <w:p w14:paraId="6E37291E" w14:textId="77777777" w:rsidR="003F1173" w:rsidRPr="004870C7" w:rsidRDefault="003F1173" w:rsidP="00BD4791">
      <w:pPr>
        <w:autoSpaceDE w:val="0"/>
        <w:autoSpaceDN w:val="0"/>
        <w:adjustRightInd w:val="0"/>
        <w:spacing w:after="0"/>
        <w:rPr>
          <w:color w:val="000000"/>
          <w:szCs w:val="20"/>
          <w:u w:val="single"/>
        </w:rPr>
      </w:pPr>
    </w:p>
    <w:p w14:paraId="553151E4" w14:textId="6B6F6A19" w:rsidR="003E3ABA" w:rsidRPr="004870C7" w:rsidRDefault="00897F6C" w:rsidP="00BD4791">
      <w:pPr>
        <w:autoSpaceDE w:val="0"/>
        <w:autoSpaceDN w:val="0"/>
        <w:adjustRightInd w:val="0"/>
        <w:spacing w:after="0"/>
        <w:rPr>
          <w:color w:val="000000"/>
          <w:szCs w:val="20"/>
        </w:rPr>
      </w:pPr>
      <w:r w:rsidRPr="004870C7">
        <w:rPr>
          <w:color w:val="000000"/>
          <w:szCs w:val="20"/>
          <w:u w:val="single"/>
        </w:rPr>
        <w:t xml:space="preserve">Confirmed </w:t>
      </w:r>
      <w:r w:rsidR="001D4798" w:rsidRPr="004870C7">
        <w:rPr>
          <w:color w:val="000000"/>
          <w:szCs w:val="20"/>
          <w:u w:val="single"/>
        </w:rPr>
        <w:t>C</w:t>
      </w:r>
      <w:r w:rsidR="003E3ABA" w:rsidRPr="004870C7">
        <w:rPr>
          <w:color w:val="000000"/>
          <w:szCs w:val="20"/>
          <w:u w:val="single"/>
        </w:rPr>
        <w:t>o-financing</w:t>
      </w:r>
      <w:r w:rsidR="003E3ABA" w:rsidRPr="004870C7">
        <w:rPr>
          <w:color w:val="000000"/>
          <w:szCs w:val="20"/>
        </w:rPr>
        <w:t xml:space="preserve">: </w:t>
      </w:r>
      <w:r w:rsidR="00CA1DCA" w:rsidRPr="004870C7">
        <w:rPr>
          <w:color w:val="000000"/>
          <w:szCs w:val="20"/>
        </w:rPr>
        <w:t xml:space="preserve">The actual realization of project co-financing will be monitored during the terminal evaluation process and will be reported to the GEF. </w:t>
      </w:r>
      <w:r w:rsidR="00EE6EA0" w:rsidRPr="004870C7">
        <w:rPr>
          <w:color w:val="000000"/>
          <w:szCs w:val="20"/>
        </w:rPr>
        <w:t xml:space="preserve">Note that all project activities included in the project results framework that will be delivered by co-financing partners (even if the funds do not pass through UNDP accounts) must comply with UNDP’s social and environmental standards. </w:t>
      </w:r>
      <w:r w:rsidR="00283E36" w:rsidRPr="004870C7">
        <w:rPr>
          <w:color w:val="000000"/>
          <w:szCs w:val="20"/>
        </w:rPr>
        <w:t>C</w:t>
      </w:r>
      <w:r w:rsidR="003E3ABA" w:rsidRPr="004870C7">
        <w:rPr>
          <w:color w:val="000000"/>
          <w:szCs w:val="20"/>
        </w:rPr>
        <w:t xml:space="preserve">o-financing will be used </w:t>
      </w:r>
      <w:r w:rsidR="00283E36" w:rsidRPr="004870C7">
        <w:rPr>
          <w:color w:val="000000"/>
          <w:szCs w:val="20"/>
        </w:rPr>
        <w:t>for the following project activities/outputs</w:t>
      </w:r>
      <w:r w:rsidR="003E3ABA" w:rsidRPr="004870C7">
        <w:rPr>
          <w:color w:val="000000"/>
          <w:szCs w:val="20"/>
        </w:rPr>
        <w:t>:</w:t>
      </w:r>
    </w:p>
    <w:p w14:paraId="601F8A8B" w14:textId="341E7983" w:rsidR="003E3ABA" w:rsidRPr="004870C7" w:rsidRDefault="003E3ABA" w:rsidP="00BD4791">
      <w:pPr>
        <w:autoSpaceDE w:val="0"/>
        <w:autoSpaceDN w:val="0"/>
        <w:adjustRightInd w:val="0"/>
        <w:spacing w:after="0"/>
        <w:rPr>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213"/>
        <w:gridCol w:w="1170"/>
        <w:gridCol w:w="2377"/>
        <w:gridCol w:w="1446"/>
        <w:gridCol w:w="1482"/>
      </w:tblGrid>
      <w:tr w:rsidR="003E3ABA" w:rsidRPr="004870C7" w14:paraId="017247A6" w14:textId="3A3A6671" w:rsidTr="003F1173">
        <w:trPr>
          <w:jc w:val="center"/>
        </w:trPr>
        <w:tc>
          <w:tcPr>
            <w:tcW w:w="1662" w:type="dxa"/>
            <w:shd w:val="clear" w:color="auto" w:fill="auto"/>
          </w:tcPr>
          <w:p w14:paraId="3512D3DC" w14:textId="767FEAE5"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Co-financing source</w:t>
            </w:r>
          </w:p>
        </w:tc>
        <w:tc>
          <w:tcPr>
            <w:tcW w:w="1213" w:type="dxa"/>
            <w:shd w:val="clear" w:color="auto" w:fill="auto"/>
          </w:tcPr>
          <w:p w14:paraId="2E565ED6" w14:textId="1B70C73A"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Co-financing type</w:t>
            </w:r>
          </w:p>
        </w:tc>
        <w:tc>
          <w:tcPr>
            <w:tcW w:w="1170" w:type="dxa"/>
            <w:shd w:val="clear" w:color="auto" w:fill="auto"/>
          </w:tcPr>
          <w:p w14:paraId="42810F42" w14:textId="6932FD21"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Co-financing amount</w:t>
            </w:r>
          </w:p>
        </w:tc>
        <w:tc>
          <w:tcPr>
            <w:tcW w:w="2377" w:type="dxa"/>
            <w:shd w:val="clear" w:color="auto" w:fill="auto"/>
          </w:tcPr>
          <w:p w14:paraId="178016D0" w14:textId="2E6BBC26" w:rsidR="00D6394A" w:rsidRPr="004870C7" w:rsidRDefault="003E3ABA" w:rsidP="00BD4791">
            <w:pPr>
              <w:autoSpaceDE w:val="0"/>
              <w:autoSpaceDN w:val="0"/>
              <w:adjustRightInd w:val="0"/>
              <w:spacing w:after="0"/>
              <w:rPr>
                <w:b/>
                <w:color w:val="000000"/>
                <w:sz w:val="18"/>
                <w:szCs w:val="18"/>
              </w:rPr>
            </w:pPr>
            <w:r w:rsidRPr="004870C7">
              <w:rPr>
                <w:b/>
                <w:color w:val="000000"/>
                <w:sz w:val="18"/>
                <w:szCs w:val="18"/>
              </w:rPr>
              <w:t xml:space="preserve">Planned </w:t>
            </w:r>
            <w:r w:rsidR="00D6394A" w:rsidRPr="004870C7">
              <w:rPr>
                <w:b/>
                <w:color w:val="000000"/>
                <w:sz w:val="18"/>
                <w:szCs w:val="18"/>
              </w:rPr>
              <w:t>Co-financing</w:t>
            </w:r>
          </w:p>
          <w:p w14:paraId="6C3336CF" w14:textId="70909600"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Activities/Outputs</w:t>
            </w:r>
          </w:p>
        </w:tc>
        <w:tc>
          <w:tcPr>
            <w:tcW w:w="1446" w:type="dxa"/>
            <w:shd w:val="clear" w:color="auto" w:fill="auto"/>
          </w:tcPr>
          <w:p w14:paraId="03CA8941" w14:textId="65C3F1A3"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Risks</w:t>
            </w:r>
          </w:p>
        </w:tc>
        <w:tc>
          <w:tcPr>
            <w:tcW w:w="1482" w:type="dxa"/>
            <w:shd w:val="clear" w:color="auto" w:fill="auto"/>
          </w:tcPr>
          <w:p w14:paraId="0C004561" w14:textId="628C44DB" w:rsidR="003E3ABA" w:rsidRPr="004870C7" w:rsidRDefault="003E3ABA" w:rsidP="00BD4791">
            <w:pPr>
              <w:autoSpaceDE w:val="0"/>
              <w:autoSpaceDN w:val="0"/>
              <w:adjustRightInd w:val="0"/>
              <w:spacing w:after="0"/>
              <w:rPr>
                <w:b/>
                <w:color w:val="000000"/>
                <w:sz w:val="18"/>
                <w:szCs w:val="18"/>
              </w:rPr>
            </w:pPr>
            <w:r w:rsidRPr="004870C7">
              <w:rPr>
                <w:b/>
                <w:color w:val="000000"/>
                <w:sz w:val="18"/>
                <w:szCs w:val="18"/>
              </w:rPr>
              <w:t>Risk Mitigation Measures</w:t>
            </w:r>
          </w:p>
        </w:tc>
      </w:tr>
      <w:tr w:rsidR="003E3ABA" w:rsidRPr="004870C7" w14:paraId="6B29FD95" w14:textId="4974491C" w:rsidTr="003F1173">
        <w:trPr>
          <w:jc w:val="center"/>
        </w:trPr>
        <w:tc>
          <w:tcPr>
            <w:tcW w:w="1662" w:type="dxa"/>
            <w:shd w:val="clear" w:color="auto" w:fill="auto"/>
          </w:tcPr>
          <w:p w14:paraId="183361A1" w14:textId="688A6440" w:rsidR="003E3ABA" w:rsidRPr="00B54400" w:rsidRDefault="00CC32FB" w:rsidP="00BD4791">
            <w:pPr>
              <w:autoSpaceDE w:val="0"/>
              <w:autoSpaceDN w:val="0"/>
              <w:adjustRightInd w:val="0"/>
              <w:spacing w:after="0"/>
              <w:rPr>
                <w:iCs/>
                <w:color w:val="000000"/>
                <w:sz w:val="18"/>
                <w:szCs w:val="18"/>
              </w:rPr>
            </w:pPr>
            <w:r w:rsidRPr="00B54400">
              <w:rPr>
                <w:iCs/>
                <w:color w:val="000000"/>
                <w:sz w:val="18"/>
                <w:szCs w:val="18"/>
              </w:rPr>
              <w:t>Ministry of Ecology, Spatial Planning and Urbanism</w:t>
            </w:r>
            <w:r w:rsidR="00052984" w:rsidRPr="00B54400">
              <w:rPr>
                <w:iCs/>
                <w:color w:val="000000"/>
                <w:sz w:val="18"/>
                <w:szCs w:val="18"/>
              </w:rPr>
              <w:t xml:space="preserve"> (MESPU)</w:t>
            </w:r>
          </w:p>
        </w:tc>
        <w:tc>
          <w:tcPr>
            <w:tcW w:w="1213" w:type="dxa"/>
            <w:shd w:val="clear" w:color="auto" w:fill="auto"/>
          </w:tcPr>
          <w:p w14:paraId="06352B6B" w14:textId="45302F87" w:rsidR="003E3ABA" w:rsidRPr="00B54400" w:rsidRDefault="003E3ABA" w:rsidP="00BD4791">
            <w:pPr>
              <w:autoSpaceDE w:val="0"/>
              <w:autoSpaceDN w:val="0"/>
              <w:adjustRightInd w:val="0"/>
              <w:spacing w:after="0"/>
              <w:rPr>
                <w:iCs/>
                <w:color w:val="000000"/>
                <w:sz w:val="18"/>
                <w:szCs w:val="18"/>
              </w:rPr>
            </w:pPr>
            <w:r w:rsidRPr="00B54400">
              <w:rPr>
                <w:iCs/>
                <w:color w:val="000000"/>
                <w:sz w:val="18"/>
                <w:szCs w:val="18"/>
              </w:rPr>
              <w:t>In kind</w:t>
            </w:r>
          </w:p>
        </w:tc>
        <w:tc>
          <w:tcPr>
            <w:tcW w:w="1170" w:type="dxa"/>
            <w:shd w:val="clear" w:color="auto" w:fill="auto"/>
          </w:tcPr>
          <w:p w14:paraId="40CF6341" w14:textId="653D9174" w:rsidR="003E3ABA" w:rsidRPr="00B54400" w:rsidRDefault="00E54E40" w:rsidP="00BD4791">
            <w:pPr>
              <w:autoSpaceDE w:val="0"/>
              <w:autoSpaceDN w:val="0"/>
              <w:adjustRightInd w:val="0"/>
              <w:spacing w:after="0"/>
              <w:rPr>
                <w:iCs/>
                <w:color w:val="000000"/>
                <w:sz w:val="18"/>
                <w:szCs w:val="18"/>
              </w:rPr>
            </w:pPr>
            <w:r w:rsidRPr="00B54400">
              <w:rPr>
                <w:iCs/>
                <w:color w:val="000000"/>
                <w:sz w:val="18"/>
                <w:szCs w:val="18"/>
              </w:rPr>
              <w:t xml:space="preserve">USD </w:t>
            </w:r>
            <w:r w:rsidR="00CC32FB" w:rsidRPr="00B54400">
              <w:rPr>
                <w:iCs/>
                <w:color w:val="000000"/>
                <w:sz w:val="18"/>
                <w:szCs w:val="18"/>
              </w:rPr>
              <w:t>100</w:t>
            </w:r>
            <w:r w:rsidR="004F718F" w:rsidRPr="00B54400">
              <w:rPr>
                <w:iCs/>
                <w:color w:val="000000"/>
                <w:sz w:val="18"/>
                <w:szCs w:val="18"/>
              </w:rPr>
              <w:t>,</w:t>
            </w:r>
            <w:r w:rsidR="00CC32FB" w:rsidRPr="00B54400">
              <w:rPr>
                <w:iCs/>
                <w:color w:val="000000"/>
                <w:sz w:val="18"/>
                <w:szCs w:val="18"/>
              </w:rPr>
              <w:t>000</w:t>
            </w:r>
            <w:r w:rsidR="004F718F" w:rsidRPr="00B54400">
              <w:rPr>
                <w:iCs/>
                <w:color w:val="000000"/>
                <w:sz w:val="18"/>
                <w:szCs w:val="18"/>
              </w:rPr>
              <w:t xml:space="preserve"> </w:t>
            </w:r>
          </w:p>
        </w:tc>
        <w:tc>
          <w:tcPr>
            <w:tcW w:w="2377" w:type="dxa"/>
            <w:shd w:val="clear" w:color="auto" w:fill="auto"/>
          </w:tcPr>
          <w:p w14:paraId="438AC4DF" w14:textId="1BD2362D" w:rsidR="003E3ABA" w:rsidRPr="00B54400" w:rsidRDefault="003E3ABA" w:rsidP="00BD4791">
            <w:pPr>
              <w:autoSpaceDE w:val="0"/>
              <w:autoSpaceDN w:val="0"/>
              <w:adjustRightInd w:val="0"/>
              <w:spacing w:after="0"/>
              <w:rPr>
                <w:iCs/>
                <w:color w:val="000000"/>
                <w:sz w:val="18"/>
                <w:szCs w:val="18"/>
              </w:rPr>
            </w:pPr>
          </w:p>
          <w:p w14:paraId="6F1F795C" w14:textId="4A06E46C" w:rsidR="00052984" w:rsidRPr="00B54400" w:rsidRDefault="00052984" w:rsidP="00BD4791">
            <w:pPr>
              <w:autoSpaceDE w:val="0"/>
              <w:autoSpaceDN w:val="0"/>
              <w:adjustRightInd w:val="0"/>
              <w:spacing w:after="0"/>
              <w:rPr>
                <w:iCs/>
                <w:color w:val="000000"/>
                <w:sz w:val="18"/>
                <w:szCs w:val="18"/>
              </w:rPr>
            </w:pPr>
            <w:r w:rsidRPr="00B54400">
              <w:rPr>
                <w:iCs/>
                <w:color w:val="000000"/>
                <w:sz w:val="18"/>
                <w:szCs w:val="18"/>
              </w:rPr>
              <w:t xml:space="preserve">Project Implementation Unit will be based at MESPU, and significant staff time will be dedicated to the project implementation </w:t>
            </w:r>
          </w:p>
        </w:tc>
        <w:tc>
          <w:tcPr>
            <w:tcW w:w="1446" w:type="dxa"/>
            <w:shd w:val="clear" w:color="auto" w:fill="auto"/>
          </w:tcPr>
          <w:p w14:paraId="257F9E2F" w14:textId="23DBA162" w:rsidR="003E3ABA" w:rsidRPr="004870C7" w:rsidRDefault="00CC32FB" w:rsidP="00C80734">
            <w:pPr>
              <w:autoSpaceDE w:val="0"/>
              <w:autoSpaceDN w:val="0"/>
              <w:adjustRightInd w:val="0"/>
              <w:spacing w:after="0"/>
              <w:jc w:val="left"/>
              <w:rPr>
                <w:iCs/>
                <w:color w:val="000000"/>
                <w:sz w:val="18"/>
                <w:szCs w:val="18"/>
              </w:rPr>
            </w:pPr>
            <w:r w:rsidRPr="004870C7">
              <w:rPr>
                <w:iCs/>
                <w:color w:val="000000"/>
                <w:sz w:val="18"/>
                <w:szCs w:val="18"/>
              </w:rPr>
              <w:t xml:space="preserve">No risks envisaged </w:t>
            </w:r>
          </w:p>
        </w:tc>
        <w:tc>
          <w:tcPr>
            <w:tcW w:w="1482" w:type="dxa"/>
            <w:shd w:val="clear" w:color="auto" w:fill="auto"/>
          </w:tcPr>
          <w:p w14:paraId="2BE429F2" w14:textId="3DFDFC25" w:rsidR="003E3ABA" w:rsidRPr="004870C7" w:rsidRDefault="00CC32FB" w:rsidP="00BD4791">
            <w:pPr>
              <w:autoSpaceDE w:val="0"/>
              <w:autoSpaceDN w:val="0"/>
              <w:adjustRightInd w:val="0"/>
              <w:spacing w:after="0"/>
              <w:rPr>
                <w:iCs/>
                <w:color w:val="000000"/>
                <w:sz w:val="18"/>
                <w:szCs w:val="18"/>
              </w:rPr>
            </w:pPr>
            <w:r w:rsidRPr="004870C7">
              <w:rPr>
                <w:iCs/>
                <w:color w:val="000000"/>
                <w:sz w:val="18"/>
                <w:szCs w:val="18"/>
              </w:rPr>
              <w:t>n/a</w:t>
            </w:r>
          </w:p>
        </w:tc>
      </w:tr>
    </w:tbl>
    <w:p w14:paraId="6079FBB0" w14:textId="1A7768F9" w:rsidR="003E3ABA" w:rsidRPr="004870C7" w:rsidRDefault="003E3ABA" w:rsidP="00BD4791">
      <w:pPr>
        <w:autoSpaceDE w:val="0"/>
        <w:autoSpaceDN w:val="0"/>
        <w:adjustRightInd w:val="0"/>
        <w:spacing w:after="0"/>
        <w:rPr>
          <w:color w:val="000000"/>
          <w:szCs w:val="20"/>
        </w:rPr>
      </w:pPr>
    </w:p>
    <w:p w14:paraId="4B2A33C1" w14:textId="77777777" w:rsidR="006312F3" w:rsidRPr="004870C7" w:rsidRDefault="006312F3" w:rsidP="00BD4791">
      <w:pPr>
        <w:spacing w:after="0"/>
        <w:rPr>
          <w:rFonts w:asciiTheme="minorHAnsi" w:hAnsiTheme="minorHAnsi" w:cs="Arial"/>
          <w:b/>
          <w:szCs w:val="20"/>
          <w:lang w:eastAsia="zh-CN"/>
        </w:rPr>
      </w:pPr>
    </w:p>
    <w:p w14:paraId="15760E07" w14:textId="77777777" w:rsidR="003437CE" w:rsidRPr="004870C7" w:rsidRDefault="003E3ABA" w:rsidP="00BD4791">
      <w:pPr>
        <w:pStyle w:val="ListParagraph"/>
        <w:ind w:left="0"/>
        <w:jc w:val="both"/>
        <w:rPr>
          <w:rFonts w:asciiTheme="minorHAnsi" w:hAnsiTheme="minorHAnsi"/>
          <w:sz w:val="20"/>
          <w:szCs w:val="20"/>
        </w:rPr>
      </w:pPr>
      <w:r w:rsidRPr="004870C7">
        <w:rPr>
          <w:rFonts w:asciiTheme="minorHAnsi" w:hAnsiTheme="minorHAnsi"/>
          <w:sz w:val="20"/>
          <w:szCs w:val="20"/>
          <w:u w:val="single"/>
        </w:rPr>
        <w:t>Budget Revision and Tolerance</w:t>
      </w:r>
      <w:r w:rsidR="00AF4698" w:rsidRPr="004870C7">
        <w:rPr>
          <w:rFonts w:asciiTheme="minorHAnsi" w:hAnsiTheme="minorHAnsi"/>
          <w:sz w:val="20"/>
          <w:szCs w:val="20"/>
        </w:rPr>
        <w:t xml:space="preserve">: </w:t>
      </w:r>
      <w:r w:rsidR="00D308B6" w:rsidRPr="004870C7">
        <w:rPr>
          <w:rFonts w:asciiTheme="minorHAnsi" w:hAnsiTheme="minorHAnsi"/>
          <w:sz w:val="20"/>
          <w:szCs w:val="20"/>
        </w:rPr>
        <w:t xml:space="preserve">As per UNDP requirements outlined in the UNDP POPP, the project board will agree on a budget tolerance level for each plan under the overall annual work plan allowing the project manager to expend up to the tolerance level beyond the approved project budget amount for the year without requiring a revision from the Project Board. </w:t>
      </w:r>
    </w:p>
    <w:p w14:paraId="6D7F3064" w14:textId="77777777" w:rsidR="003437CE" w:rsidRPr="004870C7" w:rsidRDefault="003437CE" w:rsidP="00BD4791">
      <w:pPr>
        <w:pStyle w:val="ListParagraph"/>
        <w:ind w:left="0"/>
        <w:jc w:val="both"/>
        <w:rPr>
          <w:rFonts w:asciiTheme="minorHAnsi" w:hAnsiTheme="minorHAnsi"/>
          <w:sz w:val="20"/>
          <w:szCs w:val="20"/>
        </w:rPr>
      </w:pPr>
    </w:p>
    <w:p w14:paraId="5456B706" w14:textId="77777777" w:rsidR="00A167E5" w:rsidRPr="004870C7" w:rsidRDefault="00D308B6" w:rsidP="00BD4791">
      <w:pPr>
        <w:pStyle w:val="ListParagraph"/>
        <w:ind w:left="0"/>
        <w:jc w:val="both"/>
        <w:rPr>
          <w:rFonts w:asciiTheme="minorHAnsi" w:hAnsiTheme="minorHAnsi"/>
          <w:sz w:val="20"/>
          <w:szCs w:val="20"/>
        </w:rPr>
      </w:pPr>
      <w:r w:rsidRPr="004870C7">
        <w:rPr>
          <w:rFonts w:asciiTheme="minorHAnsi" w:hAnsiTheme="minorHAnsi"/>
          <w:sz w:val="20"/>
          <w:szCs w:val="20"/>
        </w:rPr>
        <w:t>Should the following deviations occur, the Project Manager</w:t>
      </w:r>
      <w:r w:rsidR="0027799A" w:rsidRPr="004870C7">
        <w:rPr>
          <w:rFonts w:asciiTheme="minorHAnsi" w:hAnsiTheme="minorHAnsi"/>
          <w:sz w:val="20"/>
          <w:szCs w:val="20"/>
        </w:rPr>
        <w:t>/CTA</w:t>
      </w:r>
      <w:r w:rsidRPr="004870C7">
        <w:rPr>
          <w:rFonts w:asciiTheme="minorHAnsi" w:hAnsiTheme="minorHAnsi"/>
          <w:sz w:val="20"/>
          <w:szCs w:val="20"/>
        </w:rPr>
        <w:t xml:space="preserve"> and UNDP Country Office will seek the approval of the </w:t>
      </w:r>
      <w:r w:rsidR="003437CE" w:rsidRPr="004870C7">
        <w:rPr>
          <w:rFonts w:asciiTheme="minorHAnsi" w:hAnsiTheme="minorHAnsi"/>
          <w:sz w:val="20"/>
          <w:szCs w:val="20"/>
        </w:rPr>
        <w:t>BPPS/</w:t>
      </w:r>
      <w:r w:rsidRPr="004870C7">
        <w:rPr>
          <w:rFonts w:asciiTheme="minorHAnsi" w:hAnsiTheme="minorHAnsi"/>
          <w:sz w:val="20"/>
          <w:szCs w:val="20"/>
        </w:rPr>
        <w:t xml:space="preserve">GEF team to ensure accurate reporting to the GEF: </w:t>
      </w:r>
    </w:p>
    <w:p w14:paraId="41918B69" w14:textId="33976B9E" w:rsidR="00A167E5" w:rsidRPr="004870C7" w:rsidRDefault="00D308B6" w:rsidP="00BD4791">
      <w:pPr>
        <w:pStyle w:val="ListParagraph"/>
        <w:ind w:left="0"/>
        <w:jc w:val="both"/>
        <w:rPr>
          <w:rFonts w:asciiTheme="minorHAnsi" w:hAnsiTheme="minorHAnsi"/>
          <w:sz w:val="20"/>
          <w:szCs w:val="20"/>
        </w:rPr>
      </w:pPr>
      <w:r w:rsidRPr="004870C7">
        <w:rPr>
          <w:rFonts w:asciiTheme="minorHAnsi" w:hAnsiTheme="minorHAnsi"/>
          <w:sz w:val="20"/>
          <w:szCs w:val="20"/>
        </w:rPr>
        <w:t xml:space="preserve">a) Budget re-allocations among components in the project </w:t>
      </w:r>
      <w:r w:rsidR="00A167E5" w:rsidRPr="004870C7">
        <w:rPr>
          <w:rFonts w:asciiTheme="minorHAnsi" w:hAnsiTheme="minorHAnsi"/>
          <w:sz w:val="20"/>
          <w:szCs w:val="20"/>
        </w:rPr>
        <w:t xml:space="preserve">budget </w:t>
      </w:r>
      <w:r w:rsidRPr="004870C7">
        <w:rPr>
          <w:rFonts w:asciiTheme="minorHAnsi" w:hAnsiTheme="minorHAnsi"/>
          <w:sz w:val="20"/>
          <w:szCs w:val="20"/>
        </w:rPr>
        <w:t xml:space="preserve">with amounts involving 10% of the total project grant or more; </w:t>
      </w:r>
    </w:p>
    <w:p w14:paraId="5FDE15FA" w14:textId="50B7F4A2" w:rsidR="00D308B6" w:rsidRPr="004870C7" w:rsidRDefault="00D308B6" w:rsidP="00BD4791">
      <w:pPr>
        <w:pStyle w:val="ListParagraph"/>
        <w:ind w:left="0"/>
        <w:jc w:val="both"/>
        <w:rPr>
          <w:rFonts w:asciiTheme="minorHAnsi" w:hAnsiTheme="minorHAnsi"/>
          <w:sz w:val="20"/>
          <w:szCs w:val="20"/>
        </w:rPr>
      </w:pPr>
      <w:r w:rsidRPr="004870C7">
        <w:rPr>
          <w:rFonts w:asciiTheme="minorHAnsi" w:hAnsiTheme="minorHAnsi"/>
          <w:sz w:val="20"/>
          <w:szCs w:val="20"/>
        </w:rPr>
        <w:t xml:space="preserve">b) Introduction of new budget items that exceed 5% of original GEF allocation. </w:t>
      </w:r>
    </w:p>
    <w:p w14:paraId="65FE0D88" w14:textId="77777777" w:rsidR="00051A7A" w:rsidRPr="004870C7" w:rsidRDefault="00051A7A" w:rsidP="00BD4791">
      <w:pPr>
        <w:spacing w:after="0"/>
        <w:rPr>
          <w:rFonts w:asciiTheme="minorHAnsi" w:hAnsiTheme="minorHAnsi"/>
          <w:szCs w:val="20"/>
        </w:rPr>
      </w:pPr>
    </w:p>
    <w:p w14:paraId="5E5A01F5" w14:textId="77777777" w:rsidR="00A02284" w:rsidRPr="004870C7" w:rsidRDefault="00740F26" w:rsidP="00BD4791">
      <w:pPr>
        <w:spacing w:after="0"/>
        <w:rPr>
          <w:rFonts w:asciiTheme="minorHAnsi" w:hAnsiTheme="minorHAnsi"/>
          <w:szCs w:val="20"/>
          <w:u w:val="single"/>
        </w:rPr>
      </w:pPr>
      <w:r w:rsidRPr="004870C7">
        <w:rPr>
          <w:rFonts w:asciiTheme="minorHAnsi" w:hAnsiTheme="minorHAnsi"/>
          <w:szCs w:val="20"/>
        </w:rPr>
        <w:t>Any over expenditure incurred beyond the available GEF grant amount will be absorbed by non-GEF resources (e.g. UNDP TRAC or cash co-financing).</w:t>
      </w:r>
      <w:r w:rsidR="00A02284" w:rsidRPr="004870C7">
        <w:rPr>
          <w:rFonts w:asciiTheme="minorHAnsi" w:hAnsiTheme="minorHAnsi"/>
          <w:szCs w:val="20"/>
          <w:u w:val="single"/>
        </w:rPr>
        <w:t xml:space="preserve"> </w:t>
      </w:r>
    </w:p>
    <w:p w14:paraId="3E09EEE4" w14:textId="77777777" w:rsidR="00A02284" w:rsidRPr="004870C7" w:rsidRDefault="00A02284" w:rsidP="00BD4791">
      <w:pPr>
        <w:spacing w:after="0"/>
        <w:rPr>
          <w:rFonts w:asciiTheme="minorHAnsi" w:hAnsiTheme="minorHAnsi"/>
          <w:szCs w:val="20"/>
          <w:u w:val="single"/>
        </w:rPr>
      </w:pPr>
    </w:p>
    <w:p w14:paraId="1E1E8755" w14:textId="77777777" w:rsidR="00051A7A" w:rsidRPr="004870C7" w:rsidRDefault="00023B58" w:rsidP="00BD4791">
      <w:pPr>
        <w:spacing w:after="0"/>
        <w:rPr>
          <w:rFonts w:asciiTheme="minorHAnsi" w:hAnsiTheme="minorHAnsi" w:cs="Calibri"/>
          <w:szCs w:val="20"/>
        </w:rPr>
      </w:pPr>
      <w:r w:rsidRPr="004870C7">
        <w:rPr>
          <w:rFonts w:asciiTheme="minorHAnsi" w:hAnsiTheme="minorHAnsi" w:cs="Calibri"/>
          <w:szCs w:val="20"/>
          <w:u w:val="single"/>
        </w:rPr>
        <w:t>Audit</w:t>
      </w:r>
      <w:r w:rsidRPr="004870C7">
        <w:rPr>
          <w:rFonts w:asciiTheme="minorHAnsi" w:hAnsiTheme="minorHAnsi" w:cs="Calibri"/>
          <w:szCs w:val="20"/>
        </w:rPr>
        <w:t xml:space="preserve">: </w:t>
      </w:r>
      <w:r w:rsidR="00051A7A" w:rsidRPr="004870C7">
        <w:rPr>
          <w:rFonts w:asciiTheme="minorHAnsi" w:hAnsiTheme="minorHAnsi" w:cs="Calibri"/>
          <w:szCs w:val="20"/>
        </w:rPr>
        <w:t xml:space="preserve">The project will be audited as per UNDP Financial Regulations and Rules and applicable audit policies. Audit cycle and process must be discussed during the Inception workshop. If the Implementing Partner is an UN Agency, the project will be audited according to that Agencies applicable audit policies. </w:t>
      </w:r>
    </w:p>
    <w:p w14:paraId="143A8DF1" w14:textId="77777777" w:rsidR="00023B58" w:rsidRPr="004870C7" w:rsidRDefault="00023B58" w:rsidP="00BD4791">
      <w:pPr>
        <w:spacing w:after="0"/>
        <w:rPr>
          <w:rFonts w:asciiTheme="minorHAnsi" w:hAnsiTheme="minorHAnsi"/>
          <w:szCs w:val="20"/>
          <w:u w:val="single"/>
        </w:rPr>
      </w:pPr>
    </w:p>
    <w:p w14:paraId="256403A9" w14:textId="5BDD836D" w:rsidR="00051A7A" w:rsidRPr="004870C7" w:rsidRDefault="00494749" w:rsidP="00BD4791">
      <w:pPr>
        <w:pStyle w:val="ListParagraph"/>
        <w:ind w:left="0"/>
        <w:jc w:val="both"/>
        <w:rPr>
          <w:rFonts w:asciiTheme="minorHAnsi" w:hAnsiTheme="minorHAnsi" w:cstheme="minorHAnsi"/>
          <w:sz w:val="20"/>
          <w:szCs w:val="20"/>
        </w:rPr>
      </w:pPr>
      <w:r w:rsidRPr="004870C7">
        <w:rPr>
          <w:rFonts w:asciiTheme="minorHAnsi" w:hAnsiTheme="minorHAnsi"/>
          <w:sz w:val="20"/>
          <w:szCs w:val="20"/>
          <w:u w:val="single"/>
        </w:rPr>
        <w:t>Project Closure</w:t>
      </w:r>
      <w:r w:rsidRPr="004870C7">
        <w:rPr>
          <w:rFonts w:asciiTheme="minorHAnsi" w:hAnsiTheme="minorHAnsi"/>
          <w:sz w:val="20"/>
          <w:szCs w:val="20"/>
        </w:rPr>
        <w:t>:</w:t>
      </w:r>
      <w:r w:rsidR="00051A7A" w:rsidRPr="004870C7">
        <w:rPr>
          <w:rFonts w:asciiTheme="minorHAnsi" w:hAnsiTheme="minorHAnsi"/>
          <w:sz w:val="20"/>
          <w:szCs w:val="20"/>
        </w:rPr>
        <w:t xml:space="preserve"> Project closure will be conducted as per UNDP requirements outlined in the UNDP POPP. </w:t>
      </w:r>
      <w:r w:rsidR="00483371" w:rsidRPr="004870C7">
        <w:rPr>
          <w:rFonts w:asciiTheme="minorHAnsi" w:hAnsiTheme="minorHAnsi"/>
          <w:sz w:val="20"/>
          <w:szCs w:val="20"/>
        </w:rPr>
        <w:t>A</w:t>
      </w:r>
      <w:r w:rsidR="00051A7A" w:rsidRPr="004870C7">
        <w:rPr>
          <w:rFonts w:asciiTheme="minorHAnsi" w:hAnsiTheme="minorHAnsi"/>
          <w:sz w:val="20"/>
          <w:szCs w:val="20"/>
        </w:rPr>
        <w:t>ll c</w:t>
      </w:r>
      <w:r w:rsidR="00051A7A" w:rsidRPr="004870C7">
        <w:rPr>
          <w:rFonts w:asciiTheme="minorHAnsi" w:hAnsiTheme="minorHAnsi" w:cstheme="minorHAnsi"/>
          <w:sz w:val="20"/>
          <w:szCs w:val="20"/>
        </w:rPr>
        <w:t xml:space="preserve">osts incurred to close the project must be included in the project closure budget and reported as final project commitments presented to the Project Board during the final project review. The only costs a project may incur following the final project review are those included in the project closure budget. </w:t>
      </w:r>
    </w:p>
    <w:p w14:paraId="08ED2B36" w14:textId="77777777" w:rsidR="00051A7A" w:rsidRPr="004870C7" w:rsidRDefault="00051A7A" w:rsidP="00BD4791">
      <w:pPr>
        <w:spacing w:after="0"/>
        <w:rPr>
          <w:rFonts w:asciiTheme="minorHAnsi" w:hAnsiTheme="minorHAnsi"/>
          <w:szCs w:val="20"/>
          <w:u w:val="single"/>
        </w:rPr>
      </w:pPr>
    </w:p>
    <w:p w14:paraId="0D9F6EAB" w14:textId="1644A977" w:rsidR="00051A7A" w:rsidRPr="004870C7" w:rsidRDefault="00051A7A" w:rsidP="00BD4791">
      <w:pPr>
        <w:spacing w:after="0"/>
        <w:rPr>
          <w:rFonts w:asciiTheme="minorHAnsi" w:hAnsiTheme="minorHAnsi"/>
          <w:szCs w:val="20"/>
        </w:rPr>
      </w:pPr>
      <w:r w:rsidRPr="004870C7">
        <w:rPr>
          <w:rFonts w:asciiTheme="minorHAnsi" w:hAnsiTheme="minorHAnsi"/>
          <w:szCs w:val="20"/>
          <w:u w:val="single"/>
        </w:rPr>
        <w:t>Operational completion</w:t>
      </w:r>
      <w:r w:rsidRPr="004870C7">
        <w:rPr>
          <w:rFonts w:asciiTheme="minorHAnsi" w:hAnsiTheme="minorHAnsi"/>
          <w:szCs w:val="20"/>
        </w:rPr>
        <w:t xml:space="preserve">: The project will be operationally completed when the last UNDP-financed inputs have been provided and the related activities have been completed. This includes the final clearance of the </w:t>
      </w:r>
      <w:r w:rsidR="00E762CA" w:rsidRPr="004870C7">
        <w:rPr>
          <w:rFonts w:asciiTheme="minorHAnsi" w:hAnsiTheme="minorHAnsi"/>
          <w:szCs w:val="20"/>
        </w:rPr>
        <w:t>Final</w:t>
      </w:r>
      <w:r w:rsidRPr="004870C7">
        <w:rPr>
          <w:rFonts w:asciiTheme="minorHAnsi" w:hAnsiTheme="minorHAnsi"/>
          <w:szCs w:val="20"/>
        </w:rPr>
        <w:t xml:space="preserve"> Report</w:t>
      </w:r>
      <w:r w:rsidR="00E762CA" w:rsidRPr="004870C7">
        <w:rPr>
          <w:rFonts w:asciiTheme="minorHAnsi" w:hAnsiTheme="minorHAnsi"/>
          <w:szCs w:val="20"/>
        </w:rPr>
        <w:t>/End of Project Report</w:t>
      </w:r>
      <w:r w:rsidRPr="004870C7">
        <w:rPr>
          <w:rFonts w:asciiTheme="minorHAnsi" w:hAnsiTheme="minorHAnsi"/>
          <w:szCs w:val="20"/>
        </w:rPr>
        <w:t xml:space="preserve"> (that will be available in English) and the corresponding management response, and the end-of-project review Project Board meeting. </w:t>
      </w:r>
      <w:r w:rsidRPr="004870C7">
        <w:rPr>
          <w:rFonts w:asciiTheme="minorHAnsi" w:hAnsiTheme="minorHAnsi"/>
          <w:b/>
          <w:szCs w:val="20"/>
        </w:rPr>
        <w:t xml:space="preserve">Operational closure must happen with 3 months </w:t>
      </w:r>
      <w:r w:rsidR="005D1C2D" w:rsidRPr="004870C7">
        <w:rPr>
          <w:rFonts w:asciiTheme="minorHAnsi" w:hAnsiTheme="minorHAnsi"/>
          <w:b/>
          <w:szCs w:val="20"/>
        </w:rPr>
        <w:t>after</w:t>
      </w:r>
      <w:r w:rsidRPr="004870C7">
        <w:rPr>
          <w:rFonts w:asciiTheme="minorHAnsi" w:hAnsiTheme="minorHAnsi"/>
          <w:b/>
          <w:szCs w:val="20"/>
        </w:rPr>
        <w:t xml:space="preserve"> </w:t>
      </w:r>
      <w:r w:rsidR="00DC3E5B" w:rsidRPr="004870C7">
        <w:rPr>
          <w:rFonts w:asciiTheme="minorHAnsi" w:hAnsiTheme="minorHAnsi"/>
          <w:b/>
          <w:szCs w:val="20"/>
        </w:rPr>
        <w:t>submitting the Final Report</w:t>
      </w:r>
      <w:r w:rsidR="0092243E" w:rsidRPr="004870C7">
        <w:rPr>
          <w:rFonts w:asciiTheme="minorHAnsi" w:hAnsiTheme="minorHAnsi"/>
          <w:b/>
          <w:szCs w:val="20"/>
        </w:rPr>
        <w:t xml:space="preserve"> </w:t>
      </w:r>
      <w:r w:rsidR="0092243E" w:rsidRPr="004870C7">
        <w:rPr>
          <w:rFonts w:asciiTheme="minorHAnsi" w:hAnsiTheme="minorHAnsi"/>
          <w:b/>
          <w:bCs/>
          <w:szCs w:val="20"/>
        </w:rPr>
        <w:t>(called also End of project report)</w:t>
      </w:r>
      <w:r w:rsidRPr="004870C7">
        <w:rPr>
          <w:rFonts w:asciiTheme="minorHAnsi" w:hAnsiTheme="minorHAnsi"/>
          <w:szCs w:val="20"/>
        </w:rPr>
        <w:t xml:space="preserve">. The Implementing Partner through a Project Board decision will notify the UNDP Country Office when operational closure has been completed. At this time, the relevant parties will have </w:t>
      </w:r>
      <w:r w:rsidRPr="004870C7">
        <w:rPr>
          <w:rFonts w:asciiTheme="minorHAnsi" w:hAnsiTheme="minorHAnsi"/>
          <w:szCs w:val="20"/>
        </w:rPr>
        <w:lastRenderedPageBreak/>
        <w:t xml:space="preserve">already agreed and confirmed in writing on the arrangements for the disposal of any equipment that is still the property of UNDP. </w:t>
      </w:r>
    </w:p>
    <w:p w14:paraId="38654481" w14:textId="77777777" w:rsidR="00051A7A" w:rsidRPr="004870C7" w:rsidRDefault="00051A7A" w:rsidP="00BD4791">
      <w:pPr>
        <w:spacing w:after="0"/>
        <w:rPr>
          <w:rFonts w:asciiTheme="minorHAnsi" w:hAnsiTheme="minorHAnsi"/>
          <w:szCs w:val="20"/>
          <w:u w:val="single"/>
        </w:rPr>
      </w:pPr>
    </w:p>
    <w:p w14:paraId="2001CD0D" w14:textId="0AE3B733" w:rsidR="00051A7A" w:rsidRPr="004870C7" w:rsidRDefault="00051A7A" w:rsidP="00BD4791">
      <w:pPr>
        <w:rPr>
          <w:rFonts w:asciiTheme="minorHAnsi" w:hAnsiTheme="minorHAnsi"/>
          <w:szCs w:val="20"/>
        </w:rPr>
      </w:pPr>
      <w:r w:rsidRPr="004870C7">
        <w:rPr>
          <w:rFonts w:asciiTheme="minorHAnsi" w:hAnsiTheme="minorHAnsi"/>
          <w:szCs w:val="20"/>
          <w:u w:val="single"/>
        </w:rPr>
        <w:t>Transfer or disposal of assets</w:t>
      </w:r>
      <w:r w:rsidRPr="004870C7">
        <w:rPr>
          <w:rFonts w:asciiTheme="minorHAnsi" w:hAnsiTheme="minorHAnsi"/>
          <w:szCs w:val="20"/>
        </w:rPr>
        <w:t>: In consultation with the Implementing Partner and other parties of the project, UNDP is responsible for deciding on the transfer or other disposal of assets. Transfer or disposal of assets is recommended to be reviewed and endorsed by the project board following UNDP rules and regulations. Assets may be transferred to the government for project activities managed by a national institution at any time during the life of a project. In all cases of transfer, a transfer document must be prepared and kept on file</w:t>
      </w:r>
      <w:r w:rsidRPr="004870C7">
        <w:rPr>
          <w:rStyle w:val="FootnoteReference"/>
          <w:rFonts w:asciiTheme="minorHAnsi" w:hAnsiTheme="minorHAnsi"/>
          <w:sz w:val="20"/>
          <w:szCs w:val="20"/>
        </w:rPr>
        <w:footnoteReference w:id="10"/>
      </w:r>
      <w:r w:rsidRPr="004870C7">
        <w:rPr>
          <w:rFonts w:asciiTheme="minorHAnsi" w:hAnsiTheme="minorHAnsi"/>
          <w:szCs w:val="20"/>
        </w:rPr>
        <w:t xml:space="preserve">. The transfer should be done before Project </w:t>
      </w:r>
      <w:r w:rsidR="00C50C5C" w:rsidRPr="004870C7">
        <w:rPr>
          <w:rFonts w:asciiTheme="minorHAnsi" w:hAnsiTheme="minorHAnsi"/>
          <w:szCs w:val="20"/>
        </w:rPr>
        <w:t>M</w:t>
      </w:r>
      <w:r w:rsidRPr="004870C7">
        <w:rPr>
          <w:rFonts w:asciiTheme="minorHAnsi" w:hAnsiTheme="minorHAnsi"/>
          <w:szCs w:val="20"/>
        </w:rPr>
        <w:t>anagement Unit complete their assignments.</w:t>
      </w:r>
    </w:p>
    <w:p w14:paraId="00242A71" w14:textId="77777777" w:rsidR="00051A7A" w:rsidRPr="004870C7" w:rsidRDefault="00051A7A" w:rsidP="00BD4791">
      <w:pPr>
        <w:spacing w:after="0"/>
        <w:rPr>
          <w:rFonts w:asciiTheme="minorHAnsi" w:hAnsiTheme="minorHAnsi"/>
          <w:szCs w:val="20"/>
          <w:u w:val="single"/>
        </w:rPr>
      </w:pPr>
    </w:p>
    <w:p w14:paraId="067CE5CE" w14:textId="77777777" w:rsidR="00051A7A" w:rsidRPr="004870C7" w:rsidRDefault="00051A7A" w:rsidP="00BD4791">
      <w:pPr>
        <w:spacing w:after="0"/>
        <w:rPr>
          <w:rFonts w:asciiTheme="minorHAnsi" w:hAnsiTheme="minorHAnsi"/>
          <w:szCs w:val="20"/>
        </w:rPr>
      </w:pPr>
      <w:r w:rsidRPr="004870C7">
        <w:rPr>
          <w:rFonts w:asciiTheme="minorHAnsi" w:hAnsiTheme="minorHAnsi"/>
          <w:szCs w:val="20"/>
          <w:u w:val="single"/>
        </w:rPr>
        <w:t>Financial completion (closure)</w:t>
      </w:r>
      <w:r w:rsidRPr="004870C7">
        <w:rPr>
          <w:rFonts w:asciiTheme="minorHAnsi" w:hAnsiTheme="minorHAnsi"/>
          <w:szCs w:val="20"/>
        </w:rPr>
        <w:t xml:space="preserve">:  The project will be financially closed when the following conditions have been met: a) the project is operationally completed or has been cancelled; b) the Implementing Partner has reported all financial transactions to UNDP; c) UNDP has closed the accounts for the project; d) UNDP and the Implementing Partner have certified a final Combined Delivery Report (which serves as final budget revision). </w:t>
      </w:r>
    </w:p>
    <w:p w14:paraId="0088BE86" w14:textId="77777777" w:rsidR="00051A7A" w:rsidRPr="004870C7" w:rsidRDefault="00051A7A" w:rsidP="00BD4791">
      <w:pPr>
        <w:spacing w:after="0"/>
        <w:rPr>
          <w:rFonts w:asciiTheme="minorHAnsi" w:hAnsiTheme="minorHAnsi"/>
          <w:szCs w:val="20"/>
        </w:rPr>
      </w:pPr>
    </w:p>
    <w:p w14:paraId="1901BC63" w14:textId="477E650A" w:rsidR="00051A7A" w:rsidRPr="004870C7" w:rsidRDefault="00051A7A" w:rsidP="00BD4791">
      <w:pPr>
        <w:spacing w:after="0"/>
        <w:rPr>
          <w:rFonts w:asciiTheme="minorHAnsi" w:hAnsiTheme="minorHAnsi"/>
          <w:szCs w:val="20"/>
        </w:rPr>
      </w:pPr>
      <w:r w:rsidRPr="004870C7">
        <w:rPr>
          <w:rFonts w:asciiTheme="minorHAnsi" w:hAnsiTheme="minorHAnsi"/>
          <w:szCs w:val="20"/>
        </w:rPr>
        <w:t xml:space="preserve">The project will be financially completed </w:t>
      </w:r>
      <w:r w:rsidRPr="004870C7">
        <w:rPr>
          <w:rFonts w:asciiTheme="minorHAnsi" w:hAnsiTheme="minorHAnsi"/>
          <w:b/>
          <w:szCs w:val="20"/>
        </w:rPr>
        <w:t>within 6 months of operational closure or after the date of cancellation</w:t>
      </w:r>
      <w:r w:rsidRPr="004870C7">
        <w:rPr>
          <w:rFonts w:asciiTheme="minorHAnsi" w:hAnsiTheme="minorHAnsi"/>
          <w:szCs w:val="20"/>
        </w:rPr>
        <w:t xml:space="preserve">. Between operational and financial closure, the implementing partner will identify and settle all financial obligations and prepare a final expenditure report. The UNDP Country Office will send the final signed closure documents including confirmation of final cumulative expenditure and unspent balance to the </w:t>
      </w:r>
      <w:r w:rsidR="00395CA9" w:rsidRPr="004870C7">
        <w:rPr>
          <w:rFonts w:asciiTheme="minorHAnsi" w:hAnsiTheme="minorHAnsi"/>
          <w:szCs w:val="20"/>
        </w:rPr>
        <w:t>BPPS/</w:t>
      </w:r>
      <w:r w:rsidRPr="004870C7">
        <w:rPr>
          <w:rFonts w:asciiTheme="minorHAnsi" w:hAnsiTheme="minorHAnsi"/>
          <w:szCs w:val="20"/>
        </w:rPr>
        <w:t>GEF Unit for confirmation before the project will be financially closed in Atlas by the UNDP Country Office.</w:t>
      </w:r>
    </w:p>
    <w:p w14:paraId="72A4DAE0" w14:textId="77777777" w:rsidR="00051A7A" w:rsidRPr="004870C7" w:rsidRDefault="00051A7A" w:rsidP="00BD4791">
      <w:pPr>
        <w:spacing w:after="0"/>
        <w:rPr>
          <w:rFonts w:asciiTheme="minorHAnsi" w:hAnsiTheme="minorHAnsi"/>
          <w:szCs w:val="20"/>
        </w:rPr>
      </w:pPr>
    </w:p>
    <w:p w14:paraId="396DC1D6" w14:textId="77DC0012" w:rsidR="00051A7A" w:rsidRPr="004870C7" w:rsidRDefault="00051A7A" w:rsidP="00BD4791">
      <w:pPr>
        <w:spacing w:after="0"/>
        <w:rPr>
          <w:rFonts w:asciiTheme="minorHAnsi" w:hAnsiTheme="minorHAnsi"/>
          <w:szCs w:val="20"/>
        </w:rPr>
      </w:pPr>
      <w:r w:rsidRPr="004870C7">
        <w:rPr>
          <w:rFonts w:asciiTheme="minorHAnsi" w:hAnsiTheme="minorHAnsi"/>
          <w:szCs w:val="20"/>
          <w:u w:val="single"/>
        </w:rPr>
        <w:t>Refund to GEF:</w:t>
      </w:r>
      <w:r w:rsidRPr="004870C7">
        <w:rPr>
          <w:rFonts w:asciiTheme="minorHAnsi" w:hAnsiTheme="minorHAnsi"/>
          <w:szCs w:val="20"/>
        </w:rPr>
        <w:t xml:space="preserve">  Should a refund of unspent funds to the GEF be necessary, this will be managed directly by the </w:t>
      </w:r>
      <w:r w:rsidR="00395CA9" w:rsidRPr="004870C7">
        <w:rPr>
          <w:rFonts w:asciiTheme="minorHAnsi" w:hAnsiTheme="minorHAnsi"/>
          <w:szCs w:val="20"/>
        </w:rPr>
        <w:t>BPPS/</w:t>
      </w:r>
      <w:r w:rsidRPr="004870C7">
        <w:rPr>
          <w:rFonts w:asciiTheme="minorHAnsi" w:hAnsiTheme="minorHAnsi"/>
          <w:szCs w:val="20"/>
        </w:rPr>
        <w:t xml:space="preserve">GEF Directorate in New York. No action is required </w:t>
      </w:r>
      <w:r w:rsidR="00C92400" w:rsidRPr="004870C7">
        <w:rPr>
          <w:rFonts w:asciiTheme="minorHAnsi" w:hAnsiTheme="minorHAnsi"/>
          <w:szCs w:val="20"/>
        </w:rPr>
        <w:t>by the UNDP Country Office</w:t>
      </w:r>
      <w:r w:rsidRPr="004870C7">
        <w:rPr>
          <w:rFonts w:asciiTheme="minorHAnsi" w:hAnsiTheme="minorHAnsi"/>
          <w:szCs w:val="20"/>
        </w:rPr>
        <w:t xml:space="preserve"> on the actual refund from UNDP project to the GEF Trustee.</w:t>
      </w:r>
    </w:p>
    <w:p w14:paraId="42B2018A" w14:textId="77777777" w:rsidR="00393350" w:rsidRPr="004870C7" w:rsidRDefault="00393350" w:rsidP="00BD4791">
      <w:pPr>
        <w:spacing w:after="0"/>
        <w:rPr>
          <w:rFonts w:asciiTheme="minorHAnsi" w:hAnsiTheme="minorHAnsi"/>
          <w:szCs w:val="20"/>
          <w:u w:val="single"/>
        </w:rPr>
      </w:pPr>
    </w:p>
    <w:p w14:paraId="41F1D9F5" w14:textId="77777777" w:rsidR="00494749" w:rsidRPr="004870C7" w:rsidRDefault="00494749" w:rsidP="00BD4791">
      <w:pPr>
        <w:spacing w:after="0"/>
        <w:rPr>
          <w:rFonts w:asciiTheme="minorHAnsi" w:hAnsiTheme="minorHAnsi"/>
          <w:szCs w:val="20"/>
          <w:u w:val="single"/>
        </w:rPr>
      </w:pPr>
    </w:p>
    <w:p w14:paraId="76436923" w14:textId="77777777" w:rsidR="003057A8" w:rsidRPr="004870C7" w:rsidRDefault="003057A8" w:rsidP="00BD4791">
      <w:pPr>
        <w:rPr>
          <w:rFonts w:asciiTheme="minorHAnsi" w:hAnsiTheme="minorHAnsi"/>
          <w:szCs w:val="20"/>
        </w:rPr>
      </w:pPr>
    </w:p>
    <w:p w14:paraId="13255B74" w14:textId="77777777" w:rsidR="00740F26" w:rsidRPr="004870C7" w:rsidRDefault="00740F26" w:rsidP="001354E3">
      <w:pPr>
        <w:spacing w:after="0"/>
        <w:jc w:val="left"/>
        <w:rPr>
          <w:rFonts w:asciiTheme="minorHAnsi" w:hAnsiTheme="minorHAnsi"/>
          <w:b/>
          <w:smallCaps/>
          <w:spacing w:val="-2"/>
          <w:szCs w:val="20"/>
        </w:rPr>
        <w:sectPr w:rsidR="00740F26" w:rsidRPr="004870C7" w:rsidSect="006353F2">
          <w:headerReference w:type="default" r:id="rId27"/>
          <w:footerReference w:type="default" r:id="rId28"/>
          <w:pgSz w:w="12240" w:h="15840" w:code="1"/>
          <w:pgMar w:top="1440" w:right="1440" w:bottom="1440" w:left="1440" w:header="720" w:footer="432" w:gutter="0"/>
          <w:cols w:space="708"/>
          <w:titlePg/>
          <w:docGrid w:linePitch="360"/>
        </w:sectPr>
      </w:pPr>
    </w:p>
    <w:p w14:paraId="1B322ECF" w14:textId="77777777" w:rsidR="003E3ABA" w:rsidRPr="004870C7" w:rsidRDefault="003E3ABA" w:rsidP="003B2A79">
      <w:pPr>
        <w:pStyle w:val="Heading1"/>
        <w:spacing w:before="0" w:after="60"/>
        <w:rPr>
          <w:rFonts w:ascii="Calibri" w:hAnsi="Calibri"/>
          <w:szCs w:val="28"/>
        </w:rPr>
      </w:pPr>
      <w:bookmarkStart w:id="20" w:name="_Toc75965553"/>
      <w:r w:rsidRPr="004870C7">
        <w:rPr>
          <w:rFonts w:ascii="Calibri" w:hAnsi="Calibri"/>
          <w:szCs w:val="28"/>
        </w:rPr>
        <w:lastRenderedPageBreak/>
        <w:t>Total Budget and Work Plan</w:t>
      </w:r>
      <w:bookmarkEnd w:id="20"/>
    </w:p>
    <w:p w14:paraId="5B3DB09F" w14:textId="11F4FEA2" w:rsidR="00470E9A" w:rsidRPr="004870C7" w:rsidRDefault="00470E9A" w:rsidP="00470E9A">
      <w:pPr>
        <w:rPr>
          <w:rFonts w:asciiTheme="minorHAnsi" w:hAnsiTheme="minorHAnsi" w:cstheme="minorHAnsi"/>
          <w:i/>
          <w:sz w:val="18"/>
          <w:szCs w:val="18"/>
          <w:lang w:eastAsia="zh-CN"/>
        </w:rPr>
      </w:pPr>
    </w:p>
    <w:tbl>
      <w:tblPr>
        <w:tblW w:w="14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150"/>
        <w:gridCol w:w="4140"/>
        <w:gridCol w:w="3645"/>
        <w:gridCol w:w="3262"/>
      </w:tblGrid>
      <w:tr w:rsidR="00470E9A" w:rsidRPr="004870C7" w14:paraId="6A24905A" w14:textId="77777777" w:rsidTr="00C9580A">
        <w:trPr>
          <w:cantSplit/>
        </w:trPr>
        <w:tc>
          <w:tcPr>
            <w:tcW w:w="14197" w:type="dxa"/>
            <w:gridSpan w:val="4"/>
            <w:shd w:val="clear" w:color="auto" w:fill="D9D9D9"/>
            <w:noWrap/>
            <w:vAlign w:val="bottom"/>
          </w:tcPr>
          <w:p w14:paraId="68ADAF22" w14:textId="77777777" w:rsidR="00470E9A" w:rsidRPr="004870C7" w:rsidRDefault="00470E9A" w:rsidP="00E54168">
            <w:pPr>
              <w:rPr>
                <w:rFonts w:asciiTheme="minorHAnsi" w:hAnsiTheme="minorHAnsi" w:cstheme="minorHAnsi"/>
                <w:b/>
                <w:bCs/>
                <w:sz w:val="18"/>
                <w:szCs w:val="18"/>
              </w:rPr>
            </w:pPr>
            <w:r w:rsidRPr="004870C7">
              <w:rPr>
                <w:rFonts w:asciiTheme="minorHAnsi" w:hAnsiTheme="minorHAnsi" w:cstheme="minorHAnsi"/>
                <w:b/>
                <w:bCs/>
                <w:sz w:val="18"/>
                <w:szCs w:val="18"/>
              </w:rPr>
              <w:t>Total Budget and Work Plan</w:t>
            </w:r>
          </w:p>
        </w:tc>
      </w:tr>
      <w:tr w:rsidR="00470E9A" w:rsidRPr="004870C7" w14:paraId="0ECE306E" w14:textId="77777777" w:rsidTr="00C9580A">
        <w:trPr>
          <w:cantSplit/>
        </w:trPr>
        <w:tc>
          <w:tcPr>
            <w:tcW w:w="3150" w:type="dxa"/>
            <w:shd w:val="clear" w:color="auto" w:fill="auto"/>
            <w:noWrap/>
            <w:vAlign w:val="bottom"/>
          </w:tcPr>
          <w:p w14:paraId="17C2C735" w14:textId="77777777" w:rsidR="00470E9A" w:rsidRPr="004870C7" w:rsidRDefault="00470E9A" w:rsidP="00E54168">
            <w:pPr>
              <w:rPr>
                <w:rFonts w:asciiTheme="minorHAnsi" w:hAnsiTheme="minorHAnsi" w:cstheme="minorHAnsi"/>
                <w:b/>
                <w:bCs/>
                <w:sz w:val="18"/>
                <w:szCs w:val="18"/>
              </w:rPr>
            </w:pPr>
            <w:r w:rsidRPr="004870C7">
              <w:rPr>
                <w:rFonts w:asciiTheme="minorHAnsi" w:hAnsiTheme="minorHAnsi" w:cstheme="minorHAnsi"/>
                <w:bCs/>
                <w:color w:val="000000"/>
                <w:sz w:val="18"/>
                <w:szCs w:val="18"/>
                <w:lang w:eastAsia="zh-CN"/>
              </w:rPr>
              <w:t xml:space="preserve">Atlas Award ID:  </w:t>
            </w:r>
          </w:p>
        </w:tc>
        <w:tc>
          <w:tcPr>
            <w:tcW w:w="4140" w:type="dxa"/>
            <w:shd w:val="clear" w:color="auto" w:fill="auto"/>
            <w:vAlign w:val="bottom"/>
          </w:tcPr>
          <w:p w14:paraId="2660EF0F" w14:textId="11EB4C2B" w:rsidR="00470E9A" w:rsidRPr="004870C7" w:rsidRDefault="00F7298D" w:rsidP="00E54168">
            <w:pPr>
              <w:rPr>
                <w:rFonts w:asciiTheme="minorHAnsi" w:hAnsiTheme="minorHAnsi" w:cstheme="minorHAnsi"/>
                <w:bCs/>
                <w:sz w:val="18"/>
                <w:szCs w:val="18"/>
              </w:rPr>
            </w:pPr>
            <w:r w:rsidRPr="004870C7">
              <w:rPr>
                <w:rFonts w:asciiTheme="minorHAnsi" w:hAnsiTheme="minorHAnsi" w:cstheme="minorHAnsi"/>
                <w:bCs/>
                <w:sz w:val="18"/>
                <w:szCs w:val="18"/>
              </w:rPr>
              <w:t>00130983</w:t>
            </w:r>
          </w:p>
        </w:tc>
        <w:tc>
          <w:tcPr>
            <w:tcW w:w="3645" w:type="dxa"/>
            <w:shd w:val="clear" w:color="auto" w:fill="auto"/>
            <w:vAlign w:val="center"/>
          </w:tcPr>
          <w:p w14:paraId="6FBFCBC4" w14:textId="77777777" w:rsidR="00470E9A" w:rsidRPr="004870C7" w:rsidRDefault="00470E9A"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Atlas Output Project ID:</w:t>
            </w:r>
          </w:p>
        </w:tc>
        <w:tc>
          <w:tcPr>
            <w:tcW w:w="3262" w:type="dxa"/>
            <w:shd w:val="clear" w:color="auto" w:fill="auto"/>
            <w:vAlign w:val="bottom"/>
          </w:tcPr>
          <w:p w14:paraId="2BF91CAF" w14:textId="52CEA412" w:rsidR="00470E9A" w:rsidRPr="004870C7" w:rsidRDefault="00F7298D" w:rsidP="00E54168">
            <w:pPr>
              <w:rPr>
                <w:rFonts w:asciiTheme="minorHAnsi" w:hAnsiTheme="minorHAnsi" w:cstheme="minorHAnsi"/>
                <w:bCs/>
                <w:sz w:val="18"/>
                <w:szCs w:val="18"/>
              </w:rPr>
            </w:pPr>
            <w:r w:rsidRPr="004870C7">
              <w:rPr>
                <w:rFonts w:asciiTheme="minorHAnsi" w:hAnsiTheme="minorHAnsi" w:cstheme="minorHAnsi"/>
                <w:bCs/>
                <w:sz w:val="18"/>
                <w:szCs w:val="18"/>
              </w:rPr>
              <w:t>00124161</w:t>
            </w:r>
          </w:p>
        </w:tc>
      </w:tr>
      <w:tr w:rsidR="00470E9A" w:rsidRPr="004870C7" w14:paraId="2CB54DB8" w14:textId="77777777" w:rsidTr="00C9580A">
        <w:trPr>
          <w:cantSplit/>
        </w:trPr>
        <w:tc>
          <w:tcPr>
            <w:tcW w:w="3150" w:type="dxa"/>
            <w:shd w:val="clear" w:color="auto" w:fill="auto"/>
            <w:noWrap/>
            <w:vAlign w:val="center"/>
          </w:tcPr>
          <w:p w14:paraId="66E21F01" w14:textId="03F75672" w:rsidR="00470E9A" w:rsidRPr="004870C7" w:rsidRDefault="00470E9A" w:rsidP="00470E9A">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Atlas Proposal or Award Title:</w:t>
            </w:r>
          </w:p>
        </w:tc>
        <w:tc>
          <w:tcPr>
            <w:tcW w:w="4140" w:type="dxa"/>
            <w:shd w:val="clear" w:color="auto" w:fill="auto"/>
            <w:vAlign w:val="center"/>
          </w:tcPr>
          <w:p w14:paraId="0BCC5BA2" w14:textId="6AA0138F" w:rsidR="00470E9A" w:rsidRPr="004870C7" w:rsidRDefault="00F7298D" w:rsidP="00470E9A">
            <w:pPr>
              <w:rPr>
                <w:rFonts w:asciiTheme="minorHAnsi" w:hAnsiTheme="minorHAnsi" w:cstheme="minorHAnsi"/>
                <w:bCs/>
                <w:sz w:val="18"/>
                <w:szCs w:val="18"/>
              </w:rPr>
            </w:pPr>
            <w:r w:rsidRPr="004870C7">
              <w:rPr>
                <w:rFonts w:asciiTheme="minorHAnsi" w:hAnsiTheme="minorHAnsi" w:cstheme="minorHAnsi"/>
                <w:sz w:val="18"/>
                <w:szCs w:val="18"/>
              </w:rPr>
              <w:t>Development of 4NC/1BTR to the UNFCCC</w:t>
            </w:r>
          </w:p>
        </w:tc>
        <w:tc>
          <w:tcPr>
            <w:tcW w:w="6907" w:type="dxa"/>
            <w:gridSpan w:val="2"/>
            <w:shd w:val="clear" w:color="auto" w:fill="auto"/>
            <w:vAlign w:val="center"/>
          </w:tcPr>
          <w:p w14:paraId="7C498D0E" w14:textId="77777777" w:rsidR="00470E9A" w:rsidRPr="004870C7" w:rsidRDefault="00470E9A" w:rsidP="00470E9A">
            <w:pPr>
              <w:rPr>
                <w:rFonts w:asciiTheme="minorHAnsi" w:hAnsiTheme="minorHAnsi" w:cstheme="minorHAnsi"/>
                <w:bCs/>
                <w:sz w:val="18"/>
                <w:szCs w:val="18"/>
              </w:rPr>
            </w:pPr>
          </w:p>
        </w:tc>
      </w:tr>
      <w:tr w:rsidR="00470E9A" w:rsidRPr="004870C7" w14:paraId="73593AB4" w14:textId="77777777" w:rsidTr="00C95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16D17871" w14:textId="77777777" w:rsidR="00470E9A" w:rsidRPr="004870C7" w:rsidRDefault="00470E9A"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Atlas Business Unit</w:t>
            </w:r>
          </w:p>
        </w:tc>
        <w:tc>
          <w:tcPr>
            <w:tcW w:w="11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063CD9" w14:textId="6C1D09D7" w:rsidR="00470E9A" w:rsidRPr="004870C7" w:rsidRDefault="00F7298D" w:rsidP="00E54168">
            <w:pPr>
              <w:rPr>
                <w:rFonts w:asciiTheme="minorHAnsi" w:hAnsiTheme="minorHAnsi" w:cstheme="minorHAnsi"/>
                <w:bCs/>
                <w:iCs/>
                <w:color w:val="000000"/>
                <w:sz w:val="18"/>
                <w:szCs w:val="18"/>
                <w:highlight w:val="yellow"/>
                <w:lang w:eastAsia="zh-CN"/>
              </w:rPr>
            </w:pPr>
            <w:r w:rsidRPr="004870C7">
              <w:rPr>
                <w:rFonts w:asciiTheme="minorHAnsi" w:hAnsiTheme="minorHAnsi" w:cstheme="minorHAnsi"/>
                <w:bCs/>
                <w:iCs/>
                <w:color w:val="000000"/>
                <w:sz w:val="18"/>
                <w:szCs w:val="18"/>
                <w:lang w:eastAsia="zh-CN"/>
              </w:rPr>
              <w:t>MNE</w:t>
            </w:r>
            <w:r w:rsidR="00470E9A" w:rsidRPr="004870C7">
              <w:rPr>
                <w:rFonts w:asciiTheme="minorHAnsi" w:hAnsiTheme="minorHAnsi" w:cstheme="minorHAnsi"/>
                <w:bCs/>
                <w:iCs/>
                <w:color w:val="000000"/>
                <w:sz w:val="18"/>
                <w:szCs w:val="18"/>
                <w:lang w:eastAsia="zh-CN"/>
              </w:rPr>
              <w:t>10</w:t>
            </w:r>
          </w:p>
        </w:tc>
      </w:tr>
      <w:tr w:rsidR="00470E9A" w:rsidRPr="004870C7" w14:paraId="2C19C61D" w14:textId="77777777" w:rsidTr="00C95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412DFE8E" w14:textId="77777777" w:rsidR="00470E9A" w:rsidRPr="004870C7" w:rsidRDefault="00470E9A"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Atlas Primary Output Project Title</w:t>
            </w:r>
          </w:p>
        </w:tc>
        <w:tc>
          <w:tcPr>
            <w:tcW w:w="11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8B6E79" w14:textId="5240A02A" w:rsidR="00470E9A" w:rsidRPr="004870C7" w:rsidRDefault="00F7298D" w:rsidP="00E54168">
            <w:pPr>
              <w:rPr>
                <w:rFonts w:asciiTheme="minorHAnsi" w:hAnsiTheme="minorHAnsi" w:cstheme="minorHAnsi"/>
                <w:bCs/>
                <w:color w:val="000000"/>
                <w:sz w:val="18"/>
                <w:szCs w:val="18"/>
                <w:lang w:eastAsia="zh-CN"/>
              </w:rPr>
            </w:pPr>
            <w:r w:rsidRPr="004870C7">
              <w:rPr>
                <w:rFonts w:asciiTheme="minorHAnsi" w:hAnsiTheme="minorHAnsi" w:cstheme="minorHAnsi"/>
                <w:sz w:val="18"/>
                <w:szCs w:val="18"/>
              </w:rPr>
              <w:t>Development of 4NC/1BTR to the UNFCCC</w:t>
            </w:r>
          </w:p>
        </w:tc>
      </w:tr>
      <w:tr w:rsidR="00470E9A" w:rsidRPr="004870C7" w14:paraId="4FEFAE85" w14:textId="77777777" w:rsidTr="00C95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73D21C2D" w14:textId="77777777" w:rsidR="00470E9A" w:rsidRPr="004870C7" w:rsidRDefault="00470E9A"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 xml:space="preserve">UNDP-GEF PIMS No. </w:t>
            </w:r>
          </w:p>
        </w:tc>
        <w:tc>
          <w:tcPr>
            <w:tcW w:w="11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FDBCA" w14:textId="791E16FD" w:rsidR="00470E9A" w:rsidRPr="004870C7" w:rsidRDefault="00F7298D"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6570</w:t>
            </w:r>
          </w:p>
        </w:tc>
      </w:tr>
      <w:tr w:rsidR="00470E9A" w:rsidRPr="004870C7" w14:paraId="78246B85" w14:textId="77777777" w:rsidTr="00C95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90711DD" w14:textId="77777777" w:rsidR="00470E9A" w:rsidRPr="004870C7" w:rsidRDefault="00470E9A" w:rsidP="00E54168">
            <w:pPr>
              <w:rPr>
                <w:rFonts w:asciiTheme="minorHAnsi" w:hAnsiTheme="minorHAnsi" w:cstheme="minorHAnsi"/>
                <w:bCs/>
                <w:color w:val="000000"/>
                <w:sz w:val="18"/>
                <w:szCs w:val="18"/>
                <w:lang w:eastAsia="zh-CN"/>
              </w:rPr>
            </w:pPr>
            <w:r w:rsidRPr="004870C7">
              <w:rPr>
                <w:rFonts w:asciiTheme="minorHAnsi" w:hAnsiTheme="minorHAnsi" w:cstheme="minorHAnsi"/>
                <w:bCs/>
                <w:color w:val="000000"/>
                <w:sz w:val="18"/>
                <w:szCs w:val="18"/>
                <w:lang w:eastAsia="zh-CN"/>
              </w:rPr>
              <w:t xml:space="preserve">Implementing Partner </w:t>
            </w:r>
          </w:p>
        </w:tc>
        <w:tc>
          <w:tcPr>
            <w:tcW w:w="11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451430" w14:textId="01022590" w:rsidR="00470E9A" w:rsidRPr="004870C7" w:rsidRDefault="00F7298D" w:rsidP="00E54168">
            <w:pPr>
              <w:rPr>
                <w:rFonts w:asciiTheme="minorHAnsi" w:hAnsiTheme="minorHAnsi" w:cstheme="minorHAnsi"/>
                <w:bCs/>
                <w:iCs/>
                <w:color w:val="000000"/>
                <w:sz w:val="18"/>
                <w:szCs w:val="18"/>
                <w:lang w:eastAsia="zh-CN"/>
              </w:rPr>
            </w:pPr>
            <w:r w:rsidRPr="004870C7">
              <w:rPr>
                <w:rFonts w:asciiTheme="minorHAnsi" w:hAnsiTheme="minorHAnsi" w:cstheme="minorHAnsi"/>
                <w:bCs/>
                <w:iCs/>
                <w:color w:val="000000"/>
                <w:sz w:val="18"/>
                <w:szCs w:val="18"/>
                <w:lang w:eastAsia="zh-CN"/>
              </w:rPr>
              <w:t>Ministry of Ecology, Spatial Planning and Urbanism</w:t>
            </w:r>
          </w:p>
        </w:tc>
      </w:tr>
    </w:tbl>
    <w:p w14:paraId="283DD7B6" w14:textId="77777777" w:rsidR="00470E9A" w:rsidRPr="004870C7" w:rsidRDefault="00470E9A" w:rsidP="00470E9A">
      <w:pPr>
        <w:rPr>
          <w:rFonts w:asciiTheme="minorHAnsi" w:hAnsiTheme="minorHAnsi" w:cstheme="minorHAnsi"/>
          <w:sz w:val="18"/>
          <w:szCs w:val="18"/>
        </w:rPr>
      </w:pPr>
    </w:p>
    <w:p w14:paraId="67892779" w14:textId="77777777" w:rsidR="00470E9A" w:rsidRPr="004870C7" w:rsidRDefault="00470E9A" w:rsidP="00470E9A">
      <w:pPr>
        <w:rPr>
          <w:rFonts w:asciiTheme="minorHAnsi" w:hAnsiTheme="minorHAnsi" w:cstheme="minorHAnsi"/>
          <w:sz w:val="18"/>
          <w:szCs w:val="18"/>
        </w:rPr>
      </w:pPr>
    </w:p>
    <w:tbl>
      <w:tblPr>
        <w:tblW w:w="14130" w:type="dxa"/>
        <w:tblInd w:w="-95" w:type="dxa"/>
        <w:tblLayout w:type="fixed"/>
        <w:tblLook w:val="0000" w:firstRow="0" w:lastRow="0" w:firstColumn="0" w:lastColumn="0" w:noHBand="0" w:noVBand="0"/>
      </w:tblPr>
      <w:tblGrid>
        <w:gridCol w:w="1936"/>
        <w:gridCol w:w="1440"/>
        <w:gridCol w:w="915"/>
        <w:gridCol w:w="1065"/>
        <w:gridCol w:w="1065"/>
        <w:gridCol w:w="1620"/>
        <w:gridCol w:w="885"/>
        <w:gridCol w:w="900"/>
        <w:gridCol w:w="885"/>
        <w:gridCol w:w="885"/>
        <w:gridCol w:w="885"/>
        <w:gridCol w:w="885"/>
        <w:gridCol w:w="764"/>
      </w:tblGrid>
      <w:tr w:rsidR="00B35083" w:rsidRPr="004870C7" w14:paraId="0ECC17CC" w14:textId="77777777" w:rsidTr="00BD4791">
        <w:trPr>
          <w:cantSplit/>
          <w:tblHeader/>
        </w:trPr>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C3C4E"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Atlas Activity (GEF Component)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22CAA" w14:textId="298F78F0"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Atlas Implementing Agent (Responsible Party, IP, or UNDP)</w:t>
            </w:r>
          </w:p>
          <w:p w14:paraId="4C5855AA" w14:textId="77777777" w:rsidR="00B35083" w:rsidRPr="004870C7" w:rsidRDefault="00B35083" w:rsidP="00E54168">
            <w:pPr>
              <w:jc w:val="center"/>
              <w:rPr>
                <w:rFonts w:asciiTheme="minorHAnsi" w:hAnsiTheme="minorHAnsi" w:cstheme="minorHAnsi"/>
                <w:bCs/>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3DB47C7"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Atlas Fund ID</w:t>
            </w:r>
          </w:p>
        </w:tc>
        <w:tc>
          <w:tcPr>
            <w:tcW w:w="1065" w:type="dxa"/>
            <w:tcBorders>
              <w:top w:val="single" w:sz="4" w:space="0" w:color="auto"/>
              <w:left w:val="single" w:sz="4" w:space="0" w:color="auto"/>
              <w:bottom w:val="single" w:sz="4" w:space="0" w:color="auto"/>
              <w:right w:val="single" w:sz="4" w:space="0" w:color="auto"/>
            </w:tcBorders>
            <w:vAlign w:val="center"/>
          </w:tcPr>
          <w:p w14:paraId="3E5D8226"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Donor Name</w:t>
            </w:r>
          </w:p>
          <w:p w14:paraId="2456B22A" w14:textId="77777777" w:rsidR="00B35083" w:rsidRPr="004870C7" w:rsidRDefault="00B35083"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DBE3D"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Atlas Budgetary Account Code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7800DB"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ATLAS Budget Account Description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8701436" w14:textId="4E5B4774"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Amount Year 2021</w:t>
            </w:r>
          </w:p>
          <w:p w14:paraId="1FC58B1B" w14:textId="024FBF71"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(USD)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765176" w14:textId="56F99AD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Amount Year 2022 (USD)</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E202715" w14:textId="25FDDBD5"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Amount Year 2023 (USD)</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92BD645"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Amount Year 2024</w:t>
            </w:r>
          </w:p>
          <w:p w14:paraId="62883D59" w14:textId="0717051D"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(USD)</w:t>
            </w:r>
          </w:p>
        </w:tc>
        <w:tc>
          <w:tcPr>
            <w:tcW w:w="885" w:type="dxa"/>
            <w:tcBorders>
              <w:top w:val="single" w:sz="4" w:space="0" w:color="auto"/>
              <w:left w:val="single" w:sz="4" w:space="0" w:color="auto"/>
              <w:bottom w:val="single" w:sz="4" w:space="0" w:color="auto"/>
              <w:right w:val="single" w:sz="4" w:space="0" w:color="auto"/>
            </w:tcBorders>
            <w:vAlign w:val="center"/>
          </w:tcPr>
          <w:p w14:paraId="1FA66EC1" w14:textId="2AEC1112" w:rsidR="00B35083" w:rsidRPr="004870C7" w:rsidRDefault="00B35083" w:rsidP="00B35083">
            <w:pPr>
              <w:jc w:val="center"/>
              <w:rPr>
                <w:rFonts w:asciiTheme="minorHAnsi" w:hAnsiTheme="minorHAnsi" w:cstheme="minorHAnsi"/>
                <w:b/>
                <w:bCs/>
                <w:sz w:val="18"/>
                <w:szCs w:val="18"/>
              </w:rPr>
            </w:pPr>
            <w:r w:rsidRPr="004870C7">
              <w:rPr>
                <w:rFonts w:asciiTheme="minorHAnsi" w:hAnsiTheme="minorHAnsi" w:cstheme="minorHAnsi"/>
                <w:b/>
                <w:bCs/>
                <w:sz w:val="18"/>
                <w:szCs w:val="18"/>
              </w:rPr>
              <w:t>Amount Year 2025</w:t>
            </w:r>
          </w:p>
          <w:p w14:paraId="4EF39969" w14:textId="77777777" w:rsidR="00B35083" w:rsidRPr="004870C7" w:rsidRDefault="00B35083" w:rsidP="00B35083">
            <w:pPr>
              <w:jc w:val="center"/>
              <w:rPr>
                <w:rFonts w:asciiTheme="minorHAnsi" w:hAnsiTheme="minorHAnsi" w:cstheme="minorHAnsi"/>
                <w:b/>
                <w:bCs/>
                <w:sz w:val="18"/>
                <w:szCs w:val="18"/>
              </w:rPr>
            </w:pPr>
            <w:r w:rsidRPr="004870C7">
              <w:rPr>
                <w:rFonts w:asciiTheme="minorHAnsi" w:hAnsiTheme="minorHAnsi" w:cstheme="minorHAnsi"/>
                <w:b/>
                <w:bCs/>
                <w:sz w:val="18"/>
                <w:szCs w:val="18"/>
              </w:rPr>
              <w:t>(USD)</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93DC"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Total (USD)</w:t>
            </w:r>
          </w:p>
        </w:tc>
        <w:tc>
          <w:tcPr>
            <w:tcW w:w="764" w:type="dxa"/>
            <w:tcBorders>
              <w:top w:val="single" w:sz="4" w:space="0" w:color="auto"/>
              <w:left w:val="single" w:sz="4" w:space="0" w:color="auto"/>
              <w:bottom w:val="single" w:sz="4" w:space="0" w:color="auto"/>
              <w:right w:val="single" w:sz="4" w:space="0" w:color="auto"/>
            </w:tcBorders>
            <w:vAlign w:val="center"/>
          </w:tcPr>
          <w:p w14:paraId="357619E4" w14:textId="77777777" w:rsidR="00B35083" w:rsidRPr="004870C7" w:rsidRDefault="00B35083"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See Budget Note:</w:t>
            </w:r>
          </w:p>
        </w:tc>
      </w:tr>
      <w:tr w:rsidR="00990AB5" w:rsidRPr="004870C7" w14:paraId="64707567" w14:textId="77777777" w:rsidTr="00BD4791">
        <w:trPr>
          <w:cantSplit/>
        </w:trPr>
        <w:tc>
          <w:tcPr>
            <w:tcW w:w="1936" w:type="dxa"/>
            <w:vMerge w:val="restart"/>
            <w:tcBorders>
              <w:top w:val="single" w:sz="4" w:space="0" w:color="auto"/>
              <w:left w:val="single" w:sz="4" w:space="0" w:color="auto"/>
              <w:right w:val="single" w:sz="4" w:space="0" w:color="auto"/>
            </w:tcBorders>
            <w:shd w:val="clear" w:color="auto" w:fill="auto"/>
            <w:vAlign w:val="center"/>
          </w:tcPr>
          <w:p w14:paraId="46B9AA07" w14:textId="77777777" w:rsidR="00990AB5" w:rsidRPr="004870C7" w:rsidRDefault="00990AB5"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COMPONENT 1</w:t>
            </w:r>
          </w:p>
          <w:p w14:paraId="5BBC9BDE" w14:textId="3EDD9F9D" w:rsidR="00990AB5" w:rsidRPr="004870C7" w:rsidRDefault="00990AB5" w:rsidP="00F7298D">
            <w:pPr>
              <w:jc w:val="center"/>
              <w:rPr>
                <w:rFonts w:asciiTheme="minorHAnsi" w:hAnsiTheme="minorHAnsi" w:cstheme="minorHAnsi"/>
                <w:b/>
                <w:bCs/>
                <w:iCs/>
                <w:sz w:val="18"/>
                <w:szCs w:val="18"/>
              </w:rPr>
            </w:pPr>
            <w:r w:rsidRPr="004870C7">
              <w:rPr>
                <w:rFonts w:asciiTheme="minorHAnsi" w:hAnsiTheme="minorHAnsi" w:cstheme="minorHAnsi"/>
                <w:iCs/>
                <w:sz w:val="18"/>
                <w:szCs w:val="18"/>
              </w:rPr>
              <w:t>National Circumstances, Institutional Arrangements, Description of NDC, Constraints, Gaps and Other Info</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6DB47EDE" w14:textId="51A4452C"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MESPU</w:t>
            </w:r>
          </w:p>
        </w:tc>
        <w:tc>
          <w:tcPr>
            <w:tcW w:w="915" w:type="dxa"/>
            <w:vMerge w:val="restart"/>
            <w:tcBorders>
              <w:top w:val="single" w:sz="4" w:space="0" w:color="auto"/>
              <w:left w:val="single" w:sz="4" w:space="0" w:color="auto"/>
              <w:right w:val="single" w:sz="4" w:space="0" w:color="auto"/>
            </w:tcBorders>
            <w:shd w:val="clear" w:color="auto" w:fill="auto"/>
            <w:vAlign w:val="center"/>
          </w:tcPr>
          <w:p w14:paraId="40740814" w14:textId="11CD2CC0"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62000</w:t>
            </w:r>
          </w:p>
          <w:p w14:paraId="11681C07" w14:textId="5741224D" w:rsidR="00990AB5" w:rsidRPr="004870C7" w:rsidRDefault="00990AB5" w:rsidP="00990AB5">
            <w:pPr>
              <w:jc w:val="center"/>
              <w:rPr>
                <w:rFonts w:asciiTheme="minorHAnsi" w:hAnsiTheme="minorHAnsi" w:cstheme="minorHAnsi"/>
                <w:b/>
                <w:bCs/>
                <w:sz w:val="18"/>
                <w:szCs w:val="18"/>
              </w:rPr>
            </w:pPr>
          </w:p>
        </w:tc>
        <w:tc>
          <w:tcPr>
            <w:tcW w:w="1065" w:type="dxa"/>
            <w:vMerge w:val="restart"/>
            <w:tcBorders>
              <w:top w:val="single" w:sz="4" w:space="0" w:color="auto"/>
              <w:left w:val="single" w:sz="4" w:space="0" w:color="auto"/>
              <w:right w:val="single" w:sz="4" w:space="0" w:color="auto"/>
            </w:tcBorders>
            <w:vAlign w:val="center"/>
          </w:tcPr>
          <w:p w14:paraId="6207F7A1" w14:textId="77777777" w:rsidR="00990AB5" w:rsidRPr="004870C7" w:rsidRDefault="00990AB5" w:rsidP="00990AB5">
            <w:pPr>
              <w:jc w:val="center"/>
              <w:rPr>
                <w:rFonts w:asciiTheme="minorHAnsi" w:hAnsiTheme="minorHAnsi" w:cstheme="minorHAnsi"/>
                <w:b/>
                <w:bCs/>
                <w:sz w:val="18"/>
                <w:szCs w:val="18"/>
              </w:rPr>
            </w:pPr>
          </w:p>
          <w:p w14:paraId="66B3D971" w14:textId="77777777" w:rsidR="00990AB5" w:rsidRPr="004870C7" w:rsidRDefault="00990AB5" w:rsidP="00990AB5">
            <w:pPr>
              <w:jc w:val="center"/>
              <w:rPr>
                <w:rFonts w:asciiTheme="minorHAnsi" w:hAnsiTheme="minorHAnsi" w:cstheme="minorHAnsi"/>
                <w:b/>
                <w:bCs/>
                <w:sz w:val="18"/>
                <w:szCs w:val="18"/>
              </w:rPr>
            </w:pPr>
          </w:p>
          <w:p w14:paraId="1CA9AADB" w14:textId="77777777" w:rsidR="00990AB5" w:rsidRPr="004870C7" w:rsidRDefault="00990AB5" w:rsidP="00990AB5">
            <w:pPr>
              <w:jc w:val="center"/>
              <w:rPr>
                <w:rFonts w:asciiTheme="minorHAnsi" w:hAnsiTheme="minorHAnsi" w:cstheme="minorHAnsi"/>
                <w:b/>
                <w:bCs/>
                <w:sz w:val="18"/>
                <w:szCs w:val="18"/>
              </w:rPr>
            </w:pPr>
          </w:p>
          <w:p w14:paraId="340C4F21" w14:textId="073A8856"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GEF Trustee</w:t>
            </w:r>
          </w:p>
          <w:p w14:paraId="574467F9" w14:textId="77777777" w:rsidR="00990AB5" w:rsidRPr="004870C7" w:rsidRDefault="00990AB5" w:rsidP="00990AB5">
            <w:pPr>
              <w:jc w:val="center"/>
              <w:rPr>
                <w:rFonts w:asciiTheme="minorHAnsi" w:hAnsiTheme="minorHAnsi" w:cstheme="minorHAnsi"/>
                <w:b/>
                <w:bCs/>
                <w:sz w:val="18"/>
                <w:szCs w:val="18"/>
              </w:rPr>
            </w:pPr>
          </w:p>
          <w:p w14:paraId="7655A421" w14:textId="77777777" w:rsidR="00990AB5" w:rsidRPr="004870C7" w:rsidRDefault="00990AB5" w:rsidP="00990AB5">
            <w:pPr>
              <w:jc w:val="center"/>
              <w:rPr>
                <w:rFonts w:asciiTheme="minorHAnsi" w:hAnsiTheme="minorHAnsi" w:cstheme="minorHAnsi"/>
                <w:b/>
                <w:bCs/>
                <w:sz w:val="18"/>
                <w:szCs w:val="18"/>
              </w:rPr>
            </w:pPr>
          </w:p>
          <w:p w14:paraId="1869C7E6" w14:textId="2FFEE98D"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68E3C" w14:textId="02B15F11" w:rsidR="00990AB5" w:rsidRPr="004870C7" w:rsidRDefault="00990AB5" w:rsidP="00B35083">
            <w:pPr>
              <w:jc w:val="center"/>
              <w:rPr>
                <w:rFonts w:asciiTheme="minorHAnsi" w:hAnsiTheme="minorHAnsi" w:cstheme="minorHAnsi"/>
                <w:sz w:val="18"/>
                <w:szCs w:val="18"/>
              </w:rPr>
            </w:pPr>
            <w:r w:rsidRPr="004870C7">
              <w:rPr>
                <w:rFonts w:asciiTheme="minorHAnsi" w:hAnsiTheme="minorHAnsi" w:cstheme="minorHAnsi"/>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2B58CE" w14:textId="0ECAD525"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ABBD8" w14:textId="047027ED"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FB41" w14:textId="06346CDF"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79F6A" w14:textId="6325F892"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12</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B8532" w14:textId="42BDD7AC"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12</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tcPr>
          <w:p w14:paraId="51D180EA" w14:textId="28EDEB5F"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FC729" w14:textId="0807CB23"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24</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vAlign w:val="center"/>
          </w:tcPr>
          <w:p w14:paraId="32182C83" w14:textId="4C40F7F7"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1</w:t>
            </w:r>
          </w:p>
        </w:tc>
      </w:tr>
      <w:tr w:rsidR="00990AB5" w:rsidRPr="004870C7" w14:paraId="05485548" w14:textId="77777777" w:rsidTr="00BD4791">
        <w:trPr>
          <w:cantSplit/>
        </w:trPr>
        <w:tc>
          <w:tcPr>
            <w:tcW w:w="1936" w:type="dxa"/>
            <w:vMerge/>
            <w:tcBorders>
              <w:left w:val="single" w:sz="4" w:space="0" w:color="auto"/>
              <w:right w:val="single" w:sz="4" w:space="0" w:color="auto"/>
            </w:tcBorders>
            <w:shd w:val="clear" w:color="auto" w:fill="auto"/>
            <w:vAlign w:val="center"/>
          </w:tcPr>
          <w:p w14:paraId="4954EC20"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59F35D31"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684B0B46"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21FC5A8B"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3F5D" w14:textId="02E5F5D5" w:rsidR="00990AB5" w:rsidRPr="004870C7" w:rsidRDefault="00990AB5" w:rsidP="00B35083">
            <w:pPr>
              <w:jc w:val="center"/>
              <w:rPr>
                <w:rFonts w:asciiTheme="minorHAnsi" w:hAnsiTheme="minorHAnsi" w:cstheme="minorHAnsi"/>
                <w:sz w:val="18"/>
                <w:szCs w:val="18"/>
              </w:rPr>
            </w:pPr>
            <w:r w:rsidRPr="004870C7">
              <w:rPr>
                <w:rFonts w:asciiTheme="minorHAnsi" w:hAnsiTheme="minorHAnsi" w:cstheme="minorHAnsi"/>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DCDD2" w14:textId="644099BB"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sz w:val="18"/>
                <w:szCs w:val="18"/>
              </w:rPr>
              <w:t xml:space="preserve">Contractual services - Companies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DAE82" w14:textId="79420A33"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C7410" w14:textId="6F89B6AD"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D648C" w14:textId="2E08B58A"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17</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4DCA" w14:textId="1F292EF9"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17</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tcPr>
          <w:p w14:paraId="68400CAE" w14:textId="4A6B63F8"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F377" w14:textId="09FBD702"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34</w:t>
            </w:r>
            <w:r w:rsidR="00C37C62"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vAlign w:val="center"/>
          </w:tcPr>
          <w:p w14:paraId="196CFD91" w14:textId="64BE4E68"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2</w:t>
            </w:r>
          </w:p>
        </w:tc>
      </w:tr>
      <w:tr w:rsidR="00990AB5" w:rsidRPr="004870C7" w14:paraId="5CF25EEC" w14:textId="77777777" w:rsidTr="00BD4791">
        <w:trPr>
          <w:cantSplit/>
        </w:trPr>
        <w:tc>
          <w:tcPr>
            <w:tcW w:w="1936" w:type="dxa"/>
            <w:vMerge/>
            <w:tcBorders>
              <w:left w:val="single" w:sz="4" w:space="0" w:color="auto"/>
              <w:right w:val="single" w:sz="4" w:space="0" w:color="auto"/>
            </w:tcBorders>
            <w:shd w:val="clear" w:color="auto" w:fill="auto"/>
            <w:vAlign w:val="center"/>
          </w:tcPr>
          <w:p w14:paraId="42FC6813"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68316E3A"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4B5E924B"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061F1E51"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ABF72" w14:textId="58B4BF8D" w:rsidR="00990AB5" w:rsidRPr="004870C7" w:rsidRDefault="00990AB5" w:rsidP="00B35083">
            <w:pPr>
              <w:jc w:val="center"/>
              <w:rPr>
                <w:rFonts w:asciiTheme="minorHAnsi" w:hAnsiTheme="minorHAnsi" w:cstheme="minorHAnsi"/>
                <w:sz w:val="18"/>
                <w:szCs w:val="18"/>
              </w:rPr>
            </w:pPr>
            <w:r w:rsidRPr="004870C7">
              <w:rPr>
                <w:rFonts w:asciiTheme="minorHAnsi" w:hAnsiTheme="minorHAnsi" w:cstheme="minorHAnsi"/>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F7731" w14:textId="1353B8C0"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7988" w14:textId="63B8BADD"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F0B01" w14:textId="423E304C"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12D6" w14:textId="458645BF"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D5DC0" w14:textId="357EBD1D"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500</w:t>
            </w:r>
          </w:p>
        </w:tc>
        <w:tc>
          <w:tcPr>
            <w:tcW w:w="885" w:type="dxa"/>
            <w:tcBorders>
              <w:top w:val="single" w:sz="4" w:space="0" w:color="auto"/>
              <w:left w:val="single" w:sz="4" w:space="0" w:color="auto"/>
              <w:bottom w:val="single" w:sz="4" w:space="0" w:color="auto"/>
              <w:right w:val="single" w:sz="4" w:space="0" w:color="auto"/>
            </w:tcBorders>
          </w:tcPr>
          <w:p w14:paraId="2D728FEE" w14:textId="14E6ED60"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AFB1E" w14:textId="6FEC02C7"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500</w:t>
            </w:r>
          </w:p>
        </w:tc>
        <w:tc>
          <w:tcPr>
            <w:tcW w:w="764" w:type="dxa"/>
            <w:tcBorders>
              <w:top w:val="single" w:sz="4" w:space="0" w:color="auto"/>
              <w:left w:val="single" w:sz="4" w:space="0" w:color="auto"/>
              <w:bottom w:val="single" w:sz="4" w:space="0" w:color="auto"/>
              <w:right w:val="single" w:sz="4" w:space="0" w:color="auto"/>
            </w:tcBorders>
            <w:vAlign w:val="center"/>
          </w:tcPr>
          <w:p w14:paraId="7D706C29" w14:textId="4C337485"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3</w:t>
            </w:r>
          </w:p>
        </w:tc>
      </w:tr>
      <w:tr w:rsidR="00990AB5" w:rsidRPr="004870C7" w14:paraId="246863A1" w14:textId="77777777" w:rsidTr="00BD4791">
        <w:trPr>
          <w:cantSplit/>
        </w:trPr>
        <w:tc>
          <w:tcPr>
            <w:tcW w:w="1936" w:type="dxa"/>
            <w:vMerge/>
            <w:tcBorders>
              <w:left w:val="single" w:sz="4" w:space="0" w:color="auto"/>
              <w:right w:val="single" w:sz="4" w:space="0" w:color="auto"/>
            </w:tcBorders>
            <w:shd w:val="clear" w:color="auto" w:fill="auto"/>
            <w:vAlign w:val="center"/>
          </w:tcPr>
          <w:p w14:paraId="593071A7"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3284FF6A"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334766FE"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5546DDD0"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84F9A" w14:textId="74A2EEF2" w:rsidR="00990AB5" w:rsidRPr="004870C7" w:rsidRDefault="00990AB5" w:rsidP="00B35083">
            <w:pPr>
              <w:jc w:val="center"/>
              <w:rPr>
                <w:rFonts w:asciiTheme="minorHAnsi" w:hAnsiTheme="minorHAnsi" w:cstheme="minorHAnsi"/>
                <w:sz w:val="18"/>
                <w:szCs w:val="18"/>
              </w:rPr>
            </w:pPr>
            <w:r w:rsidRPr="004870C7">
              <w:rPr>
                <w:rFonts w:asciiTheme="minorHAnsi" w:hAnsiTheme="minorHAnsi" w:cstheme="minorHAnsi"/>
                <w:sz w:val="18"/>
                <w:szCs w:val="18"/>
              </w:rPr>
              <w:t>72400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9506" w14:textId="7A8D1B88" w:rsidR="00990AB5" w:rsidRPr="004870C7" w:rsidRDefault="00990AB5" w:rsidP="00E54168">
            <w:pPr>
              <w:rPr>
                <w:rFonts w:asciiTheme="minorHAnsi" w:hAnsiTheme="minorHAnsi" w:cstheme="minorHAnsi"/>
                <w:bCs/>
                <w:sz w:val="18"/>
                <w:szCs w:val="18"/>
              </w:rPr>
            </w:pPr>
            <w:r w:rsidRPr="004870C7">
              <w:rPr>
                <w:rFonts w:asciiTheme="minorHAnsi" w:hAnsiTheme="minorHAnsi" w:cstheme="minorHAnsi"/>
                <w:bCs/>
                <w:sz w:val="18"/>
                <w:szCs w:val="18"/>
              </w:rPr>
              <w:t>Communication&amp; Audio-visual Equip.</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C4FF" w14:textId="352F1C79"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3EDC" w14:textId="7B9137B4"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537B1" w14:textId="27CEA48B"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5CDD" w14:textId="373CE3B9"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500</w:t>
            </w:r>
          </w:p>
        </w:tc>
        <w:tc>
          <w:tcPr>
            <w:tcW w:w="885" w:type="dxa"/>
            <w:tcBorders>
              <w:top w:val="single" w:sz="4" w:space="0" w:color="auto"/>
              <w:left w:val="single" w:sz="4" w:space="0" w:color="auto"/>
              <w:bottom w:val="single" w:sz="4" w:space="0" w:color="auto"/>
              <w:right w:val="single" w:sz="4" w:space="0" w:color="auto"/>
            </w:tcBorders>
          </w:tcPr>
          <w:p w14:paraId="08556E48" w14:textId="7A2D2BE7"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25FE" w14:textId="59C47F37"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500</w:t>
            </w:r>
          </w:p>
        </w:tc>
        <w:tc>
          <w:tcPr>
            <w:tcW w:w="764" w:type="dxa"/>
            <w:tcBorders>
              <w:top w:val="single" w:sz="4" w:space="0" w:color="auto"/>
              <w:left w:val="single" w:sz="4" w:space="0" w:color="auto"/>
              <w:bottom w:val="single" w:sz="4" w:space="0" w:color="auto"/>
              <w:right w:val="single" w:sz="4" w:space="0" w:color="auto"/>
            </w:tcBorders>
            <w:vAlign w:val="center"/>
          </w:tcPr>
          <w:p w14:paraId="60BF4289" w14:textId="62514DC6"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4</w:t>
            </w:r>
          </w:p>
        </w:tc>
      </w:tr>
      <w:tr w:rsidR="00990AB5" w:rsidRPr="004870C7" w14:paraId="339E0181" w14:textId="77777777" w:rsidTr="00BD4791">
        <w:trPr>
          <w:cantSplit/>
        </w:trPr>
        <w:tc>
          <w:tcPr>
            <w:tcW w:w="1936" w:type="dxa"/>
            <w:vMerge/>
            <w:tcBorders>
              <w:left w:val="single" w:sz="4" w:space="0" w:color="auto"/>
              <w:right w:val="single" w:sz="4" w:space="0" w:color="auto"/>
            </w:tcBorders>
            <w:shd w:val="clear" w:color="auto" w:fill="auto"/>
            <w:vAlign w:val="center"/>
          </w:tcPr>
          <w:p w14:paraId="0BFB076E"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3858C048"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3FD56246"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7827E248"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0CF9B" w14:textId="3E97B4C8" w:rsidR="00990AB5" w:rsidRPr="004870C7" w:rsidRDefault="00990AB5" w:rsidP="00B35083">
            <w:pPr>
              <w:jc w:val="center"/>
              <w:rPr>
                <w:rFonts w:asciiTheme="minorHAnsi" w:hAnsiTheme="minorHAnsi" w:cstheme="minorHAnsi"/>
                <w:sz w:val="18"/>
                <w:szCs w:val="18"/>
              </w:rPr>
            </w:pPr>
            <w:r w:rsidRPr="004870C7">
              <w:rPr>
                <w:rFonts w:asciiTheme="minorHAnsi" w:hAnsiTheme="minorHAnsi" w:cstheme="minorHAnsi"/>
                <w:sz w:val="18"/>
                <w:szCs w:val="18"/>
              </w:rPr>
              <w:t>72500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93311" w14:textId="5955E780"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sz w:val="18"/>
                <w:szCs w:val="18"/>
              </w:rPr>
              <w:t>Supplies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8F122" w14:textId="4F9EEC98" w:rsidR="00990AB5" w:rsidRPr="004870C7" w:rsidRDefault="00990AB5" w:rsidP="00E54168">
            <w:pPr>
              <w:jc w:val="center"/>
              <w:rPr>
                <w:rFonts w:asciiTheme="minorHAnsi" w:hAnsiTheme="minorHAnsi" w:cstheme="minorHAnsi"/>
                <w:bCs/>
                <w:sz w:val="18"/>
                <w:szCs w:val="18"/>
              </w:rPr>
            </w:pPr>
            <w:r w:rsidRPr="004870C7">
              <w:rPr>
                <w:rFonts w:asciiTheme="minorHAnsi" w:hAnsiTheme="minorHAnsi" w:cstheme="minorHAnsi"/>
                <w:bCs/>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79D03" w14:textId="1EE76DEB" w:rsidR="00990AB5" w:rsidRPr="004870C7" w:rsidRDefault="00990AB5" w:rsidP="00E54168">
            <w:pPr>
              <w:jc w:val="center"/>
              <w:rPr>
                <w:rFonts w:asciiTheme="minorHAnsi" w:hAnsiTheme="minorHAnsi" w:cstheme="minorHAnsi"/>
                <w:bCs/>
                <w:sz w:val="18"/>
                <w:szCs w:val="18"/>
              </w:rPr>
            </w:pPr>
            <w:r w:rsidRPr="004870C7">
              <w:rPr>
                <w:rFonts w:asciiTheme="minorHAnsi" w:hAnsiTheme="minorHAnsi" w:cstheme="minorHAnsi"/>
                <w:bCs/>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F5900" w14:textId="2F709D06" w:rsidR="00990AB5" w:rsidRPr="004870C7" w:rsidRDefault="00990AB5" w:rsidP="00E54168">
            <w:pPr>
              <w:jc w:val="center"/>
              <w:rPr>
                <w:rFonts w:asciiTheme="minorHAnsi" w:hAnsiTheme="minorHAnsi" w:cstheme="minorHAnsi"/>
                <w:bCs/>
                <w:sz w:val="18"/>
                <w:szCs w:val="18"/>
              </w:rPr>
            </w:pPr>
            <w:r w:rsidRPr="004870C7">
              <w:rPr>
                <w:rFonts w:asciiTheme="minorHAnsi" w:hAnsiTheme="minorHAnsi" w:cstheme="minorHAnsi"/>
                <w:bCs/>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637D5" w14:textId="4579467E" w:rsidR="00990AB5" w:rsidRPr="00B54400" w:rsidRDefault="00052984" w:rsidP="00E54168">
            <w:pPr>
              <w:jc w:val="center"/>
              <w:rPr>
                <w:rFonts w:asciiTheme="minorHAnsi" w:hAnsiTheme="minorHAnsi" w:cstheme="minorHAnsi"/>
                <w:bCs/>
                <w:sz w:val="18"/>
                <w:szCs w:val="18"/>
              </w:rPr>
            </w:pPr>
            <w:r w:rsidRPr="00B54400">
              <w:rPr>
                <w:rFonts w:asciiTheme="minorHAnsi" w:hAnsiTheme="minorHAnsi" w:cstheme="minorHAnsi"/>
                <w:bCs/>
                <w:sz w:val="18"/>
                <w:szCs w:val="18"/>
              </w:rPr>
              <w:t>1,0</w:t>
            </w:r>
            <w:r w:rsidR="00990AB5" w:rsidRPr="00B54400">
              <w:rPr>
                <w:rFonts w:asciiTheme="minorHAnsi" w:hAnsiTheme="minorHAnsi" w:cstheme="minorHAnsi"/>
                <w:bCs/>
                <w:sz w:val="18"/>
                <w:szCs w:val="18"/>
              </w:rPr>
              <w:t>00</w:t>
            </w:r>
          </w:p>
        </w:tc>
        <w:tc>
          <w:tcPr>
            <w:tcW w:w="885" w:type="dxa"/>
            <w:tcBorders>
              <w:top w:val="single" w:sz="4" w:space="0" w:color="auto"/>
              <w:left w:val="single" w:sz="4" w:space="0" w:color="auto"/>
              <w:bottom w:val="single" w:sz="4" w:space="0" w:color="auto"/>
              <w:right w:val="single" w:sz="4" w:space="0" w:color="auto"/>
            </w:tcBorders>
          </w:tcPr>
          <w:p w14:paraId="24B8B043" w14:textId="31FA2751" w:rsidR="00990AB5" w:rsidRPr="00B54400" w:rsidRDefault="00990AB5" w:rsidP="00E54168">
            <w:pPr>
              <w:jc w:val="center"/>
              <w:rPr>
                <w:rFonts w:asciiTheme="minorHAnsi" w:hAnsiTheme="minorHAnsi" w:cstheme="minorHAnsi"/>
                <w:bCs/>
                <w:sz w:val="18"/>
                <w:szCs w:val="18"/>
              </w:rPr>
            </w:pPr>
            <w:r w:rsidRPr="00B54400">
              <w:rPr>
                <w:rFonts w:asciiTheme="minorHAnsi" w:hAnsiTheme="minorHAnsi" w:cstheme="minorHAnsi"/>
                <w:bCs/>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EB190" w14:textId="730B33C7" w:rsidR="00990AB5" w:rsidRPr="00B54400" w:rsidRDefault="00052984" w:rsidP="00E54168">
            <w:pPr>
              <w:jc w:val="center"/>
              <w:rPr>
                <w:rFonts w:asciiTheme="minorHAnsi" w:hAnsiTheme="minorHAnsi" w:cstheme="minorHAnsi"/>
                <w:bCs/>
                <w:sz w:val="18"/>
                <w:szCs w:val="18"/>
              </w:rPr>
            </w:pPr>
            <w:r w:rsidRPr="00B54400">
              <w:rPr>
                <w:rFonts w:asciiTheme="minorHAnsi" w:hAnsiTheme="minorHAnsi" w:cstheme="minorHAnsi"/>
                <w:bCs/>
                <w:sz w:val="18"/>
                <w:szCs w:val="18"/>
              </w:rPr>
              <w:t>1,0</w:t>
            </w:r>
            <w:r w:rsidR="00990AB5" w:rsidRPr="00B54400">
              <w:rPr>
                <w:rFonts w:asciiTheme="minorHAnsi" w:hAnsiTheme="minorHAnsi" w:cstheme="minorHAnsi"/>
                <w:bCs/>
                <w:sz w:val="18"/>
                <w:szCs w:val="18"/>
              </w:rPr>
              <w:t>00</w:t>
            </w:r>
          </w:p>
        </w:tc>
        <w:tc>
          <w:tcPr>
            <w:tcW w:w="764" w:type="dxa"/>
            <w:tcBorders>
              <w:top w:val="single" w:sz="4" w:space="0" w:color="auto"/>
              <w:left w:val="single" w:sz="4" w:space="0" w:color="auto"/>
              <w:bottom w:val="single" w:sz="4" w:space="0" w:color="auto"/>
              <w:right w:val="single" w:sz="4" w:space="0" w:color="auto"/>
            </w:tcBorders>
            <w:vAlign w:val="center"/>
          </w:tcPr>
          <w:p w14:paraId="51FEB621" w14:textId="64C32591" w:rsidR="00990AB5" w:rsidRPr="00B54400" w:rsidRDefault="00990AB5" w:rsidP="00E54168">
            <w:pPr>
              <w:jc w:val="center"/>
              <w:rPr>
                <w:rFonts w:asciiTheme="minorHAnsi" w:hAnsiTheme="minorHAnsi" w:cstheme="minorHAnsi"/>
                <w:bCs/>
                <w:sz w:val="18"/>
                <w:szCs w:val="18"/>
              </w:rPr>
            </w:pPr>
            <w:r w:rsidRPr="00B54400">
              <w:rPr>
                <w:rFonts w:asciiTheme="minorHAnsi" w:hAnsiTheme="minorHAnsi" w:cstheme="minorHAnsi"/>
                <w:bCs/>
                <w:sz w:val="18"/>
                <w:szCs w:val="18"/>
              </w:rPr>
              <w:t>5</w:t>
            </w:r>
          </w:p>
        </w:tc>
      </w:tr>
      <w:tr w:rsidR="00990AB5" w:rsidRPr="004870C7" w14:paraId="7FDEF43C" w14:textId="77777777" w:rsidTr="00BD4791">
        <w:trPr>
          <w:cantSplit/>
        </w:trPr>
        <w:tc>
          <w:tcPr>
            <w:tcW w:w="1936" w:type="dxa"/>
            <w:vMerge/>
            <w:tcBorders>
              <w:left w:val="single" w:sz="4" w:space="0" w:color="auto"/>
              <w:right w:val="single" w:sz="4" w:space="0" w:color="auto"/>
            </w:tcBorders>
            <w:shd w:val="clear" w:color="auto" w:fill="auto"/>
            <w:vAlign w:val="center"/>
          </w:tcPr>
          <w:p w14:paraId="05C7E550"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60B4EE0D"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81D4736"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364197F8"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FC529" w14:textId="3BCADF1B" w:rsidR="00990AB5" w:rsidRPr="00052984" w:rsidRDefault="00990AB5" w:rsidP="00B35083">
            <w:pPr>
              <w:jc w:val="center"/>
              <w:rPr>
                <w:rFonts w:asciiTheme="minorHAnsi" w:hAnsiTheme="minorHAnsi" w:cstheme="minorHAnsi"/>
                <w:sz w:val="18"/>
                <w:szCs w:val="18"/>
                <w:highlight w:val="yellow"/>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74FD" w14:textId="75CF295A" w:rsidR="00990AB5" w:rsidRPr="00052984" w:rsidRDefault="00990AB5" w:rsidP="00E54168">
            <w:pPr>
              <w:rPr>
                <w:rFonts w:asciiTheme="minorHAnsi" w:hAnsiTheme="minorHAnsi" w:cstheme="minorHAnsi"/>
                <w:sz w:val="18"/>
                <w:szCs w:val="18"/>
                <w:highlight w:val="yellow"/>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3BF23" w14:textId="27725B3B" w:rsidR="00990AB5" w:rsidRPr="00052984" w:rsidRDefault="00990AB5" w:rsidP="00E54168">
            <w:pPr>
              <w:jc w:val="center"/>
              <w:rPr>
                <w:rFonts w:asciiTheme="minorHAnsi" w:hAnsiTheme="minorHAnsi" w:cstheme="minorHAnsi"/>
                <w:sz w:val="18"/>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88885" w14:textId="6922B1E2" w:rsidR="00990AB5" w:rsidRPr="00052984" w:rsidRDefault="00990AB5" w:rsidP="00E54168">
            <w:pPr>
              <w:jc w:val="center"/>
              <w:rPr>
                <w:rFonts w:asciiTheme="minorHAnsi" w:hAnsiTheme="minorHAnsi" w:cstheme="minorHAnsi"/>
                <w:sz w:val="18"/>
                <w:szCs w:val="18"/>
                <w:highlight w:val="yellow"/>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11E2" w14:textId="730F27EE" w:rsidR="00990AB5" w:rsidRPr="00052984" w:rsidRDefault="00990AB5" w:rsidP="00E54168">
            <w:pPr>
              <w:jc w:val="center"/>
              <w:rPr>
                <w:rFonts w:asciiTheme="minorHAnsi" w:hAnsiTheme="minorHAnsi" w:cstheme="minorHAnsi"/>
                <w:sz w:val="18"/>
                <w:szCs w:val="18"/>
                <w:highlight w:val="yellow"/>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F473" w14:textId="277BC6D4" w:rsidR="00990AB5" w:rsidRPr="00B54400" w:rsidRDefault="00990AB5" w:rsidP="00E54168">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tcPr>
          <w:p w14:paraId="432AC89A" w14:textId="5287861C" w:rsidR="00990AB5" w:rsidRPr="00B54400" w:rsidRDefault="00990AB5" w:rsidP="00E54168">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E9A34" w14:textId="3430CADF" w:rsidR="00990AB5" w:rsidRPr="00B54400" w:rsidRDefault="00990AB5" w:rsidP="00E54168">
            <w:pPr>
              <w:jc w:val="center"/>
              <w:rPr>
                <w:rFonts w:asciiTheme="minorHAnsi" w:hAnsiTheme="minorHAnsi" w:cstheme="minorHAnsi"/>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74EAA0F" w14:textId="4EE399AA" w:rsidR="00990AB5" w:rsidRPr="00B54400" w:rsidRDefault="00990AB5" w:rsidP="00E54168">
            <w:pPr>
              <w:jc w:val="center"/>
              <w:rPr>
                <w:rFonts w:asciiTheme="minorHAnsi" w:hAnsiTheme="minorHAnsi" w:cstheme="minorHAnsi"/>
                <w:sz w:val="18"/>
                <w:szCs w:val="18"/>
              </w:rPr>
            </w:pPr>
          </w:p>
        </w:tc>
      </w:tr>
      <w:tr w:rsidR="00990AB5" w:rsidRPr="004870C7" w14:paraId="3D64790F" w14:textId="77777777" w:rsidTr="00BD4791">
        <w:trPr>
          <w:cantSplit/>
        </w:trPr>
        <w:tc>
          <w:tcPr>
            <w:tcW w:w="1936" w:type="dxa"/>
            <w:vMerge/>
            <w:tcBorders>
              <w:left w:val="single" w:sz="4" w:space="0" w:color="auto"/>
              <w:right w:val="single" w:sz="4" w:space="0" w:color="auto"/>
            </w:tcBorders>
            <w:shd w:val="clear" w:color="auto" w:fill="auto"/>
            <w:vAlign w:val="center"/>
          </w:tcPr>
          <w:p w14:paraId="53C2D381"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7438E8A8"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46426B58"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7D1CE19C"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82B49" w14:textId="77777777" w:rsidR="00990AB5" w:rsidRPr="004870C7" w:rsidRDefault="00990AB5" w:rsidP="00B35083">
            <w:pPr>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1750C" w14:textId="77777777" w:rsidR="00990AB5" w:rsidRPr="004870C7" w:rsidRDefault="00990AB5" w:rsidP="00E54168">
            <w:pPr>
              <w:rPr>
                <w:rFonts w:asciiTheme="minorHAnsi" w:hAnsiTheme="minorHAnsi" w:cstheme="minorHAnsi"/>
                <w:b/>
                <w:bCs/>
                <w:sz w:val="18"/>
                <w:szCs w:val="18"/>
              </w:rPr>
            </w:pPr>
            <w:r w:rsidRPr="004870C7">
              <w:rPr>
                <w:rFonts w:asciiTheme="minorHAnsi" w:hAnsiTheme="minorHAnsi" w:cstheme="minorHAnsi"/>
                <w:b/>
                <w:bCs/>
                <w:sz w:val="18"/>
                <w:szCs w:val="18"/>
              </w:rPr>
              <w:t>sub-total GEF</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42BEB" w14:textId="03CD1C91"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5B90E" w14:textId="113666FE"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90A08" w14:textId="1D742552"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29</w:t>
            </w:r>
            <w:r w:rsidR="00C56CB6" w:rsidRPr="004870C7">
              <w:rPr>
                <w:rFonts w:asciiTheme="minorHAnsi" w:hAnsiTheme="minorHAnsi" w:cstheme="minorHAnsi"/>
                <w:b/>
                <w:sz w:val="18"/>
                <w:szCs w:val="18"/>
              </w:rPr>
              <w:t>,</w:t>
            </w:r>
            <w:r w:rsidRPr="004870C7">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2945F" w14:textId="0BC87A1B"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31</w:t>
            </w:r>
            <w:r w:rsidR="00BB77F3"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tcPr>
          <w:p w14:paraId="0292D496" w14:textId="7CDA89C8" w:rsidR="00990AB5" w:rsidRPr="00B54400" w:rsidRDefault="005836E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E95F6" w14:textId="250123F2"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60</w:t>
            </w:r>
            <w:r w:rsidR="00BB77F3"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764" w:type="dxa"/>
            <w:tcBorders>
              <w:top w:val="single" w:sz="4" w:space="0" w:color="auto"/>
              <w:left w:val="single" w:sz="4" w:space="0" w:color="auto"/>
              <w:bottom w:val="single" w:sz="4" w:space="0" w:color="auto"/>
              <w:right w:val="single" w:sz="4" w:space="0" w:color="auto"/>
            </w:tcBorders>
            <w:vAlign w:val="center"/>
          </w:tcPr>
          <w:p w14:paraId="4FDBC6BF" w14:textId="77777777" w:rsidR="00990AB5" w:rsidRPr="00B54400" w:rsidRDefault="00990AB5" w:rsidP="00E54168">
            <w:pPr>
              <w:jc w:val="center"/>
              <w:rPr>
                <w:rFonts w:asciiTheme="minorHAnsi" w:hAnsiTheme="minorHAnsi" w:cstheme="minorHAnsi"/>
                <w:b/>
                <w:sz w:val="18"/>
                <w:szCs w:val="18"/>
              </w:rPr>
            </w:pPr>
          </w:p>
        </w:tc>
      </w:tr>
      <w:tr w:rsidR="00990AB5" w:rsidRPr="004870C7" w14:paraId="23610C45" w14:textId="77777777" w:rsidTr="00BD4791">
        <w:trPr>
          <w:cantSplit/>
        </w:trPr>
        <w:tc>
          <w:tcPr>
            <w:tcW w:w="1936" w:type="dxa"/>
            <w:vMerge/>
            <w:tcBorders>
              <w:left w:val="single" w:sz="4" w:space="0" w:color="auto"/>
              <w:bottom w:val="double" w:sz="4" w:space="0" w:color="auto"/>
              <w:right w:val="single" w:sz="4" w:space="0" w:color="auto"/>
            </w:tcBorders>
            <w:shd w:val="clear" w:color="auto" w:fill="auto"/>
            <w:noWrap/>
            <w:vAlign w:val="center"/>
          </w:tcPr>
          <w:p w14:paraId="702F2D0D" w14:textId="77777777" w:rsidR="00990AB5" w:rsidRPr="004870C7" w:rsidRDefault="00990AB5" w:rsidP="00E54168">
            <w:pPr>
              <w:rPr>
                <w:rFonts w:asciiTheme="minorHAnsi" w:hAnsiTheme="minorHAnsi" w:cstheme="minorHAnsi"/>
                <w:b/>
                <w:bCs/>
                <w:sz w:val="18"/>
                <w:szCs w:val="18"/>
              </w:rPr>
            </w:pPr>
          </w:p>
        </w:tc>
        <w:tc>
          <w:tcPr>
            <w:tcW w:w="1440" w:type="dxa"/>
            <w:vMerge/>
            <w:tcBorders>
              <w:left w:val="single" w:sz="4" w:space="0" w:color="auto"/>
              <w:bottom w:val="double" w:sz="4" w:space="0" w:color="auto"/>
              <w:right w:val="single" w:sz="4" w:space="0" w:color="auto"/>
            </w:tcBorders>
            <w:shd w:val="clear" w:color="auto" w:fill="auto"/>
            <w:vAlign w:val="center"/>
          </w:tcPr>
          <w:p w14:paraId="5CE0451B" w14:textId="77777777" w:rsidR="00990AB5" w:rsidRPr="004870C7" w:rsidRDefault="00990AB5" w:rsidP="00990AB5">
            <w:pPr>
              <w:jc w:val="center"/>
              <w:rPr>
                <w:rFonts w:asciiTheme="minorHAnsi" w:hAnsiTheme="minorHAnsi" w:cstheme="minorHAnsi"/>
                <w:b/>
                <w:bCs/>
                <w:sz w:val="18"/>
                <w:szCs w:val="18"/>
              </w:rPr>
            </w:pPr>
          </w:p>
        </w:tc>
        <w:tc>
          <w:tcPr>
            <w:tcW w:w="915" w:type="dxa"/>
            <w:vMerge/>
            <w:tcBorders>
              <w:left w:val="single" w:sz="4" w:space="0" w:color="auto"/>
              <w:bottom w:val="double" w:sz="4" w:space="0" w:color="auto"/>
              <w:right w:val="single" w:sz="4" w:space="0" w:color="auto"/>
            </w:tcBorders>
            <w:shd w:val="clear" w:color="auto" w:fill="auto"/>
            <w:vAlign w:val="center"/>
          </w:tcPr>
          <w:p w14:paraId="22C8008A" w14:textId="77777777" w:rsidR="00990AB5" w:rsidRPr="004870C7" w:rsidRDefault="00990AB5" w:rsidP="00990AB5">
            <w:pPr>
              <w:jc w:val="center"/>
              <w:rPr>
                <w:rFonts w:asciiTheme="minorHAnsi" w:hAnsiTheme="minorHAnsi" w:cstheme="minorHAnsi"/>
                <w:b/>
                <w:bCs/>
                <w:sz w:val="18"/>
                <w:szCs w:val="18"/>
              </w:rPr>
            </w:pPr>
          </w:p>
        </w:tc>
        <w:tc>
          <w:tcPr>
            <w:tcW w:w="1065" w:type="dxa"/>
            <w:vMerge/>
            <w:tcBorders>
              <w:left w:val="single" w:sz="4" w:space="0" w:color="auto"/>
              <w:bottom w:val="double" w:sz="4" w:space="0" w:color="auto"/>
              <w:right w:val="single" w:sz="4" w:space="0" w:color="auto"/>
            </w:tcBorders>
            <w:vAlign w:val="center"/>
          </w:tcPr>
          <w:p w14:paraId="6DC97EE7" w14:textId="77777777" w:rsidR="00990AB5" w:rsidRPr="004870C7" w:rsidRDefault="00990AB5" w:rsidP="00990AB5">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6165CC6" w14:textId="77777777" w:rsidR="00990AB5" w:rsidRPr="004870C7" w:rsidRDefault="00990AB5" w:rsidP="00E54168">
            <w:pPr>
              <w:jc w:val="center"/>
              <w:rPr>
                <w:rFonts w:asciiTheme="minorHAnsi" w:hAnsiTheme="minorHAnsi" w:cstheme="minorHAnsi"/>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02F217B0" w14:textId="77777777" w:rsidR="00990AB5" w:rsidRPr="004870C7" w:rsidRDefault="00990AB5" w:rsidP="00E54168">
            <w:pPr>
              <w:rPr>
                <w:rFonts w:asciiTheme="minorHAnsi" w:hAnsiTheme="minorHAnsi" w:cstheme="minorHAnsi"/>
                <w:b/>
                <w:sz w:val="18"/>
                <w:szCs w:val="18"/>
              </w:rPr>
            </w:pPr>
            <w:r w:rsidRPr="004870C7">
              <w:rPr>
                <w:rFonts w:asciiTheme="minorHAnsi" w:hAnsiTheme="minorHAnsi" w:cstheme="minorHAnsi"/>
                <w:b/>
                <w:sz w:val="18"/>
                <w:szCs w:val="18"/>
              </w:rPr>
              <w:t>Total Outcome 1</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C8362CD" w14:textId="618B513C"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7721E39" w14:textId="4D2BBD70"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FFE7A0C" w14:textId="37CCAEFD"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29</w:t>
            </w:r>
            <w:r w:rsidR="00C56CB6" w:rsidRPr="004870C7">
              <w:rPr>
                <w:rFonts w:asciiTheme="minorHAnsi" w:hAnsiTheme="minorHAnsi" w:cstheme="minorHAnsi"/>
                <w:b/>
                <w:sz w:val="18"/>
                <w:szCs w:val="18"/>
              </w:rPr>
              <w:t>,</w:t>
            </w:r>
            <w:r w:rsidRPr="004870C7">
              <w:rPr>
                <w:rFonts w:asciiTheme="minorHAnsi" w:hAnsiTheme="minorHAnsi" w:cstheme="minorHAnsi"/>
                <w:b/>
                <w:sz w:val="18"/>
                <w:szCs w:val="18"/>
              </w:rPr>
              <w:t>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09D1C9E" w14:textId="426202F7"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31</w:t>
            </w:r>
            <w:r w:rsidR="00BB77F3"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885" w:type="dxa"/>
            <w:tcBorders>
              <w:top w:val="single" w:sz="4" w:space="0" w:color="auto"/>
              <w:left w:val="single" w:sz="4" w:space="0" w:color="auto"/>
              <w:bottom w:val="double" w:sz="4" w:space="0" w:color="auto"/>
              <w:right w:val="single" w:sz="4" w:space="0" w:color="auto"/>
            </w:tcBorders>
          </w:tcPr>
          <w:p w14:paraId="765F8F6B" w14:textId="080D2F41" w:rsidR="00990AB5" w:rsidRPr="00B54400" w:rsidRDefault="005836E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2559907" w14:textId="45189C84"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60</w:t>
            </w:r>
            <w:r w:rsidR="00BB77F3"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764" w:type="dxa"/>
            <w:tcBorders>
              <w:top w:val="single" w:sz="4" w:space="0" w:color="auto"/>
              <w:left w:val="single" w:sz="4" w:space="0" w:color="auto"/>
              <w:bottom w:val="double" w:sz="4" w:space="0" w:color="auto"/>
              <w:right w:val="single" w:sz="4" w:space="0" w:color="auto"/>
            </w:tcBorders>
            <w:vAlign w:val="center"/>
          </w:tcPr>
          <w:p w14:paraId="58DCA2DE" w14:textId="77777777" w:rsidR="00990AB5" w:rsidRPr="00B54400" w:rsidRDefault="00990AB5" w:rsidP="00E54168">
            <w:pPr>
              <w:jc w:val="center"/>
              <w:rPr>
                <w:rFonts w:asciiTheme="minorHAnsi" w:hAnsiTheme="minorHAnsi" w:cstheme="minorHAnsi"/>
                <w:b/>
                <w:sz w:val="18"/>
                <w:szCs w:val="18"/>
              </w:rPr>
            </w:pPr>
          </w:p>
        </w:tc>
      </w:tr>
      <w:tr w:rsidR="00990AB5" w:rsidRPr="004870C7" w14:paraId="0A746D8F" w14:textId="77777777" w:rsidTr="00956A5F">
        <w:trPr>
          <w:cantSplit/>
        </w:trPr>
        <w:tc>
          <w:tcPr>
            <w:tcW w:w="1936" w:type="dxa"/>
            <w:vMerge w:val="restart"/>
            <w:tcBorders>
              <w:top w:val="double" w:sz="4" w:space="0" w:color="auto"/>
              <w:left w:val="double" w:sz="4" w:space="0" w:color="auto"/>
            </w:tcBorders>
            <w:shd w:val="clear" w:color="auto" w:fill="auto"/>
            <w:noWrap/>
            <w:vAlign w:val="center"/>
          </w:tcPr>
          <w:p w14:paraId="5D2082F0" w14:textId="77777777"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sz w:val="18"/>
                <w:szCs w:val="18"/>
              </w:rPr>
              <w:br w:type="page"/>
            </w:r>
          </w:p>
          <w:p w14:paraId="434C2327" w14:textId="77777777" w:rsidR="00990AB5" w:rsidRPr="004870C7" w:rsidRDefault="00990AB5"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COMPONENT 2:</w:t>
            </w:r>
          </w:p>
          <w:p w14:paraId="5AED7392" w14:textId="4ED28D94" w:rsidR="00990AB5" w:rsidRPr="004870C7" w:rsidRDefault="00990AB5" w:rsidP="00E46F3A">
            <w:pPr>
              <w:jc w:val="center"/>
              <w:rPr>
                <w:rFonts w:asciiTheme="minorHAnsi" w:hAnsiTheme="minorHAnsi" w:cstheme="minorHAnsi"/>
                <w:iCs/>
                <w:sz w:val="18"/>
                <w:szCs w:val="18"/>
              </w:rPr>
            </w:pPr>
            <w:r w:rsidRPr="004870C7">
              <w:rPr>
                <w:rFonts w:asciiTheme="minorHAnsi" w:hAnsiTheme="minorHAnsi" w:cstheme="minorHAnsi"/>
                <w:iCs/>
                <w:sz w:val="18"/>
                <w:szCs w:val="18"/>
              </w:rPr>
              <w:t>GHG Inventory</w:t>
            </w:r>
          </w:p>
        </w:tc>
        <w:tc>
          <w:tcPr>
            <w:tcW w:w="1440" w:type="dxa"/>
            <w:vMerge w:val="restart"/>
            <w:tcBorders>
              <w:top w:val="double" w:sz="4" w:space="0" w:color="auto"/>
              <w:left w:val="single" w:sz="4" w:space="0" w:color="auto"/>
              <w:right w:val="single" w:sz="4" w:space="0" w:color="auto"/>
            </w:tcBorders>
            <w:shd w:val="clear" w:color="auto" w:fill="auto"/>
            <w:vAlign w:val="center"/>
          </w:tcPr>
          <w:p w14:paraId="62779129" w14:textId="0E487346"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MESPU</w:t>
            </w:r>
          </w:p>
        </w:tc>
        <w:tc>
          <w:tcPr>
            <w:tcW w:w="915" w:type="dxa"/>
            <w:vMerge w:val="restart"/>
            <w:tcBorders>
              <w:top w:val="double" w:sz="4" w:space="0" w:color="auto"/>
              <w:left w:val="single" w:sz="4" w:space="0" w:color="auto"/>
              <w:right w:val="single" w:sz="4" w:space="0" w:color="auto"/>
            </w:tcBorders>
            <w:shd w:val="clear" w:color="auto" w:fill="auto"/>
            <w:vAlign w:val="center"/>
          </w:tcPr>
          <w:p w14:paraId="06AAD8D0" w14:textId="6B8D02C3" w:rsidR="00990AB5" w:rsidRPr="004870C7" w:rsidRDefault="00990AB5" w:rsidP="00990AB5">
            <w:pPr>
              <w:jc w:val="center"/>
              <w:rPr>
                <w:rFonts w:asciiTheme="minorHAnsi" w:hAnsiTheme="minorHAnsi" w:cstheme="minorHAnsi"/>
                <w:b/>
                <w:bCs/>
                <w:sz w:val="18"/>
                <w:szCs w:val="18"/>
              </w:rPr>
            </w:pPr>
          </w:p>
          <w:p w14:paraId="030FE82C" w14:textId="77777777" w:rsidR="00990AB5" w:rsidRPr="004870C7" w:rsidRDefault="00990AB5" w:rsidP="00990AB5">
            <w:pPr>
              <w:jc w:val="center"/>
              <w:rPr>
                <w:rFonts w:asciiTheme="minorHAnsi" w:hAnsiTheme="minorHAnsi" w:cstheme="minorHAnsi"/>
                <w:b/>
                <w:bCs/>
                <w:sz w:val="18"/>
                <w:szCs w:val="18"/>
              </w:rPr>
            </w:pPr>
          </w:p>
          <w:p w14:paraId="2008CC08" w14:textId="1BAFE389"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62000</w:t>
            </w:r>
          </w:p>
          <w:p w14:paraId="62CBBF38" w14:textId="0C7AEB9F" w:rsidR="00990AB5" w:rsidRPr="004870C7" w:rsidRDefault="00990AB5" w:rsidP="00990AB5">
            <w:pPr>
              <w:jc w:val="center"/>
              <w:rPr>
                <w:rFonts w:asciiTheme="minorHAnsi" w:hAnsiTheme="minorHAnsi" w:cstheme="minorHAnsi"/>
                <w:b/>
                <w:bCs/>
                <w:sz w:val="18"/>
                <w:szCs w:val="18"/>
              </w:rPr>
            </w:pPr>
          </w:p>
          <w:p w14:paraId="3D73A6BA" w14:textId="62ADE629" w:rsidR="00990AB5" w:rsidRPr="004870C7" w:rsidRDefault="00990AB5" w:rsidP="00990AB5">
            <w:pPr>
              <w:jc w:val="center"/>
              <w:rPr>
                <w:rFonts w:asciiTheme="minorHAnsi" w:hAnsiTheme="minorHAnsi" w:cstheme="minorHAnsi"/>
                <w:b/>
                <w:bCs/>
                <w:sz w:val="18"/>
                <w:szCs w:val="18"/>
              </w:rPr>
            </w:pPr>
          </w:p>
        </w:tc>
        <w:tc>
          <w:tcPr>
            <w:tcW w:w="1065" w:type="dxa"/>
            <w:vMerge w:val="restart"/>
            <w:tcBorders>
              <w:top w:val="double" w:sz="4" w:space="0" w:color="auto"/>
              <w:left w:val="single" w:sz="4" w:space="0" w:color="auto"/>
              <w:right w:val="single" w:sz="4" w:space="0" w:color="auto"/>
            </w:tcBorders>
            <w:vAlign w:val="center"/>
          </w:tcPr>
          <w:p w14:paraId="1648140F" w14:textId="1895024D"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GEF</w:t>
            </w:r>
          </w:p>
          <w:p w14:paraId="7236C342" w14:textId="496E92E1" w:rsidR="00990AB5" w:rsidRPr="004870C7" w:rsidRDefault="00990AB5" w:rsidP="00990AB5">
            <w:pPr>
              <w:jc w:val="center"/>
              <w:rPr>
                <w:rFonts w:asciiTheme="minorHAnsi" w:hAnsiTheme="minorHAnsi" w:cstheme="minorHAnsi"/>
                <w:b/>
                <w:bCs/>
                <w:sz w:val="18"/>
                <w:szCs w:val="18"/>
              </w:rPr>
            </w:pPr>
            <w:r w:rsidRPr="004870C7">
              <w:rPr>
                <w:rFonts w:asciiTheme="minorHAnsi" w:hAnsiTheme="minorHAnsi" w:cstheme="minorHAnsi"/>
                <w:b/>
                <w:bCs/>
                <w:sz w:val="18"/>
                <w:szCs w:val="18"/>
              </w:rPr>
              <w:t>Trustee</w:t>
            </w: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9EDBB41" w14:textId="2E878032"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72100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14:paraId="70358540" w14:textId="0794CBC4"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sz w:val="18"/>
                <w:szCs w:val="18"/>
              </w:rPr>
              <w:t>Contractual services - Companies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045E3E2" w14:textId="7A15DA28" w:rsidR="00990AB5" w:rsidRPr="004870C7" w:rsidRDefault="00990AB5"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44423DA" w14:textId="2DC8F609" w:rsidR="00990AB5" w:rsidRPr="004870C7" w:rsidRDefault="00FB4F6C" w:rsidP="00E54168">
            <w:pPr>
              <w:jc w:val="center"/>
              <w:rPr>
                <w:rFonts w:asciiTheme="minorHAnsi" w:hAnsiTheme="minorHAnsi" w:cstheme="minorHAnsi"/>
                <w:sz w:val="18"/>
                <w:szCs w:val="18"/>
              </w:rPr>
            </w:pPr>
            <w:r>
              <w:rPr>
                <w:rFonts w:asciiTheme="minorHAnsi" w:hAnsiTheme="minorHAnsi" w:cstheme="minorHAnsi"/>
                <w:sz w:val="18"/>
                <w:szCs w:val="18"/>
              </w:rPr>
              <w:t>80</w:t>
            </w:r>
            <w:r w:rsidR="006A339E" w:rsidRPr="004870C7">
              <w:rPr>
                <w:rFonts w:asciiTheme="minorHAnsi" w:hAnsiTheme="minorHAnsi" w:cstheme="minorHAnsi"/>
                <w:sz w:val="18"/>
                <w:szCs w:val="18"/>
              </w:rPr>
              <w:t>,</w:t>
            </w:r>
            <w:r w:rsidR="00990AB5" w:rsidRPr="004870C7">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520385C" w14:textId="7651A0DC" w:rsidR="00990AB5" w:rsidRPr="004870C7" w:rsidRDefault="00FB4F6C" w:rsidP="00E54168">
            <w:pPr>
              <w:jc w:val="center"/>
              <w:rPr>
                <w:rFonts w:asciiTheme="minorHAnsi" w:hAnsiTheme="minorHAnsi" w:cstheme="minorHAnsi"/>
                <w:sz w:val="18"/>
                <w:szCs w:val="18"/>
              </w:rPr>
            </w:pPr>
            <w:r>
              <w:rPr>
                <w:rFonts w:asciiTheme="minorHAnsi" w:hAnsiTheme="minorHAnsi" w:cstheme="minorHAnsi"/>
                <w:sz w:val="18"/>
                <w:szCs w:val="18"/>
              </w:rPr>
              <w:t>80</w:t>
            </w:r>
            <w:r w:rsidR="006A339E" w:rsidRPr="004870C7">
              <w:rPr>
                <w:rFonts w:asciiTheme="minorHAnsi" w:hAnsiTheme="minorHAnsi" w:cstheme="minorHAnsi"/>
                <w:sz w:val="18"/>
                <w:szCs w:val="18"/>
              </w:rPr>
              <w:t>,</w:t>
            </w:r>
            <w:r w:rsidR="00990AB5" w:rsidRPr="004870C7">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01F1D48" w14:textId="33417299" w:rsidR="00990AB5" w:rsidRPr="00B54400" w:rsidRDefault="00990AB5"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tcPr>
          <w:p w14:paraId="3FF3869F" w14:textId="77777777" w:rsidR="00990AB5" w:rsidRPr="00B54400" w:rsidRDefault="00990AB5" w:rsidP="00E54168">
            <w:pPr>
              <w:jc w:val="center"/>
              <w:rPr>
                <w:rFonts w:asciiTheme="minorHAnsi" w:hAnsiTheme="minorHAnsi" w:cstheme="minorHAnsi"/>
                <w:sz w:val="18"/>
                <w:szCs w:val="18"/>
              </w:rPr>
            </w:pPr>
          </w:p>
          <w:p w14:paraId="64B3104C" w14:textId="601C7CFB" w:rsidR="00990AB5" w:rsidRPr="00B54400" w:rsidRDefault="00990AB5"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0A3B7F7" w14:textId="70DD3F3E" w:rsidR="00990AB5" w:rsidRPr="00B54400" w:rsidRDefault="00990AB5"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3537BA" w:rsidRPr="00B54400">
              <w:rPr>
                <w:rFonts w:asciiTheme="minorHAnsi" w:hAnsiTheme="minorHAnsi" w:cstheme="minorHAnsi"/>
                <w:sz w:val="18"/>
                <w:szCs w:val="18"/>
              </w:rPr>
              <w:t>6</w:t>
            </w:r>
            <w:r w:rsidRPr="00B54400">
              <w:rPr>
                <w:rFonts w:asciiTheme="minorHAnsi" w:hAnsiTheme="minorHAnsi" w:cstheme="minorHAnsi"/>
                <w:sz w:val="18"/>
                <w:szCs w:val="18"/>
              </w:rPr>
              <w:t>0</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double" w:sz="4" w:space="0" w:color="auto"/>
              <w:left w:val="single" w:sz="4" w:space="0" w:color="auto"/>
              <w:bottom w:val="single" w:sz="4" w:space="0" w:color="auto"/>
              <w:right w:val="single" w:sz="4" w:space="0" w:color="auto"/>
            </w:tcBorders>
            <w:vAlign w:val="center"/>
          </w:tcPr>
          <w:p w14:paraId="63D556EB" w14:textId="0C8AE1A2" w:rsidR="00990AB5"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p>
        </w:tc>
      </w:tr>
      <w:tr w:rsidR="00990AB5" w:rsidRPr="004870C7" w14:paraId="22B47588" w14:textId="77777777" w:rsidTr="00956A5F">
        <w:trPr>
          <w:cantSplit/>
        </w:trPr>
        <w:tc>
          <w:tcPr>
            <w:tcW w:w="1936" w:type="dxa"/>
            <w:vMerge/>
            <w:tcBorders>
              <w:left w:val="double" w:sz="4" w:space="0" w:color="auto"/>
              <w:right w:val="single" w:sz="4" w:space="0" w:color="auto"/>
            </w:tcBorders>
            <w:shd w:val="clear" w:color="auto" w:fill="auto"/>
            <w:vAlign w:val="center"/>
          </w:tcPr>
          <w:p w14:paraId="2B4C6F6C" w14:textId="77777777" w:rsidR="00990AB5" w:rsidRPr="004870C7" w:rsidRDefault="00990AB5" w:rsidP="00E54168">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2E5B4D9D" w14:textId="77777777" w:rsidR="00990AB5" w:rsidRPr="004870C7" w:rsidRDefault="00990AB5"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7FBD4F88" w14:textId="77777777" w:rsidR="00990AB5" w:rsidRPr="004870C7" w:rsidRDefault="00990AB5"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1CA109E5" w14:textId="77777777" w:rsidR="00990AB5" w:rsidRPr="004870C7" w:rsidRDefault="00990AB5"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68D6" w14:textId="77777777" w:rsidR="00990AB5" w:rsidRPr="004870C7" w:rsidRDefault="00990AB5" w:rsidP="00E54168">
            <w:pPr>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3C0FF" w14:textId="77777777" w:rsidR="00990AB5" w:rsidRPr="004870C7" w:rsidRDefault="00990AB5" w:rsidP="00E54168">
            <w:pPr>
              <w:rPr>
                <w:rFonts w:asciiTheme="minorHAnsi" w:hAnsiTheme="minorHAnsi" w:cstheme="minorHAnsi"/>
                <w:sz w:val="18"/>
                <w:szCs w:val="18"/>
              </w:rPr>
            </w:pPr>
            <w:r w:rsidRPr="004870C7">
              <w:rPr>
                <w:rFonts w:asciiTheme="minorHAnsi" w:hAnsiTheme="minorHAnsi" w:cstheme="minorHAnsi"/>
                <w:b/>
                <w:bCs/>
                <w:sz w:val="18"/>
                <w:szCs w:val="18"/>
              </w:rPr>
              <w:t>sub-total GEF</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B5A7" w14:textId="19F807EB" w:rsidR="00990AB5" w:rsidRPr="004870C7" w:rsidRDefault="00990AB5" w:rsidP="00E54168">
            <w:pPr>
              <w:jc w:val="center"/>
              <w:rPr>
                <w:rFonts w:asciiTheme="minorHAnsi" w:hAnsiTheme="minorHAnsi" w:cstheme="minorHAnsi"/>
                <w:b/>
                <w:sz w:val="18"/>
                <w:szCs w:val="18"/>
              </w:rPr>
            </w:pPr>
            <w:r w:rsidRPr="004870C7">
              <w:rPr>
                <w:rFonts w:asciiTheme="minorHAnsi" w:hAnsiTheme="minorHAnsi" w:cstheme="minorHAnsi"/>
                <w:b/>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984B" w14:textId="2838CB54" w:rsidR="00990AB5" w:rsidRPr="004870C7" w:rsidRDefault="003537BA" w:rsidP="00E54168">
            <w:pPr>
              <w:jc w:val="center"/>
              <w:rPr>
                <w:rFonts w:asciiTheme="minorHAnsi" w:hAnsiTheme="minorHAnsi" w:cstheme="minorHAnsi"/>
                <w:b/>
                <w:sz w:val="18"/>
                <w:szCs w:val="18"/>
              </w:rPr>
            </w:pPr>
            <w:r>
              <w:rPr>
                <w:rFonts w:asciiTheme="minorHAnsi" w:hAnsiTheme="minorHAnsi" w:cstheme="minorHAnsi"/>
                <w:b/>
                <w:sz w:val="18"/>
                <w:szCs w:val="18"/>
              </w:rPr>
              <w:t>80</w:t>
            </w:r>
            <w:r w:rsidR="006A339E" w:rsidRPr="004870C7">
              <w:rPr>
                <w:rFonts w:asciiTheme="minorHAnsi" w:hAnsiTheme="minorHAnsi" w:cstheme="minorHAnsi"/>
                <w:b/>
                <w:sz w:val="18"/>
                <w:szCs w:val="18"/>
              </w:rPr>
              <w:t>,</w:t>
            </w:r>
            <w:r w:rsidR="00990AB5" w:rsidRPr="004870C7">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39CE" w14:textId="3D787BCE" w:rsidR="00990AB5" w:rsidRPr="004870C7" w:rsidRDefault="003537BA" w:rsidP="00E54168">
            <w:pPr>
              <w:jc w:val="center"/>
              <w:rPr>
                <w:rFonts w:asciiTheme="minorHAnsi" w:hAnsiTheme="minorHAnsi" w:cstheme="minorHAnsi"/>
                <w:b/>
                <w:sz w:val="18"/>
                <w:szCs w:val="18"/>
              </w:rPr>
            </w:pPr>
            <w:r>
              <w:rPr>
                <w:rFonts w:asciiTheme="minorHAnsi" w:hAnsiTheme="minorHAnsi" w:cstheme="minorHAnsi"/>
                <w:b/>
                <w:sz w:val="18"/>
                <w:szCs w:val="18"/>
              </w:rPr>
              <w:t>80</w:t>
            </w:r>
            <w:r w:rsidR="006A339E" w:rsidRPr="004870C7">
              <w:rPr>
                <w:rFonts w:asciiTheme="minorHAnsi" w:hAnsiTheme="minorHAnsi" w:cstheme="minorHAnsi"/>
                <w:b/>
                <w:sz w:val="18"/>
                <w:szCs w:val="18"/>
              </w:rPr>
              <w:t>,</w:t>
            </w:r>
            <w:r w:rsidR="00990AB5" w:rsidRPr="004870C7">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17565" w14:textId="603CB89D"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4C16A33" w14:textId="0BF29AFA"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CCDD" w14:textId="37AAC7FD" w:rsidR="00990AB5" w:rsidRPr="00B54400" w:rsidRDefault="00990AB5" w:rsidP="00E54168">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3537BA" w:rsidRPr="00B54400">
              <w:rPr>
                <w:rFonts w:asciiTheme="minorHAnsi" w:hAnsiTheme="minorHAnsi" w:cstheme="minorHAnsi"/>
                <w:b/>
                <w:sz w:val="18"/>
                <w:szCs w:val="18"/>
              </w:rPr>
              <w:t>6</w:t>
            </w:r>
            <w:r w:rsidRPr="00B54400">
              <w:rPr>
                <w:rFonts w:asciiTheme="minorHAnsi" w:hAnsiTheme="minorHAnsi" w:cstheme="minorHAnsi"/>
                <w:b/>
                <w:sz w:val="18"/>
                <w:szCs w:val="18"/>
              </w:rPr>
              <w:t>0</w:t>
            </w:r>
            <w:r w:rsidR="006A339E"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764" w:type="dxa"/>
            <w:tcBorders>
              <w:top w:val="single" w:sz="4" w:space="0" w:color="auto"/>
              <w:left w:val="single" w:sz="4" w:space="0" w:color="auto"/>
              <w:bottom w:val="single" w:sz="4" w:space="0" w:color="auto"/>
              <w:right w:val="single" w:sz="4" w:space="0" w:color="auto"/>
            </w:tcBorders>
            <w:vAlign w:val="center"/>
          </w:tcPr>
          <w:p w14:paraId="5C361AF1" w14:textId="77777777" w:rsidR="00990AB5" w:rsidRPr="00B54400" w:rsidRDefault="00990AB5" w:rsidP="00E54168">
            <w:pPr>
              <w:jc w:val="center"/>
              <w:rPr>
                <w:rFonts w:asciiTheme="minorHAnsi" w:hAnsiTheme="minorHAnsi" w:cstheme="minorHAnsi"/>
                <w:sz w:val="18"/>
                <w:szCs w:val="18"/>
              </w:rPr>
            </w:pPr>
          </w:p>
        </w:tc>
      </w:tr>
      <w:tr w:rsidR="00B01611" w:rsidRPr="004870C7" w14:paraId="33D38BEB" w14:textId="77777777" w:rsidTr="00956A5F">
        <w:trPr>
          <w:cantSplit/>
          <w:trHeight w:val="267"/>
        </w:trPr>
        <w:tc>
          <w:tcPr>
            <w:tcW w:w="1936" w:type="dxa"/>
            <w:vMerge/>
            <w:tcBorders>
              <w:left w:val="double" w:sz="4" w:space="0" w:color="auto"/>
              <w:bottom w:val="double" w:sz="4" w:space="0" w:color="auto"/>
              <w:right w:val="single" w:sz="4" w:space="0" w:color="auto"/>
            </w:tcBorders>
            <w:shd w:val="clear" w:color="auto" w:fill="auto"/>
            <w:vAlign w:val="center"/>
          </w:tcPr>
          <w:p w14:paraId="6D9686B3" w14:textId="77777777" w:rsidR="00B01611" w:rsidRPr="004870C7" w:rsidRDefault="00B01611" w:rsidP="00E54168">
            <w:pPr>
              <w:rPr>
                <w:rFonts w:asciiTheme="minorHAnsi" w:hAnsiTheme="minorHAnsi" w:cstheme="minorHAnsi"/>
                <w:sz w:val="18"/>
                <w:szCs w:val="18"/>
              </w:rPr>
            </w:pPr>
          </w:p>
        </w:tc>
        <w:tc>
          <w:tcPr>
            <w:tcW w:w="1440" w:type="dxa"/>
            <w:vMerge/>
            <w:tcBorders>
              <w:left w:val="single" w:sz="4" w:space="0" w:color="auto"/>
              <w:bottom w:val="double" w:sz="4" w:space="0" w:color="auto"/>
              <w:right w:val="single" w:sz="4" w:space="0" w:color="auto"/>
            </w:tcBorders>
            <w:shd w:val="clear" w:color="auto" w:fill="auto"/>
            <w:vAlign w:val="center"/>
          </w:tcPr>
          <w:p w14:paraId="42BA61FC" w14:textId="77777777" w:rsidR="00B01611" w:rsidRPr="004870C7" w:rsidRDefault="00B01611" w:rsidP="00E54168">
            <w:pPr>
              <w:jc w:val="center"/>
              <w:rPr>
                <w:rFonts w:asciiTheme="minorHAnsi" w:hAnsiTheme="minorHAnsi" w:cstheme="minorHAnsi"/>
                <w:b/>
                <w:bCs/>
                <w:sz w:val="18"/>
                <w:szCs w:val="18"/>
              </w:rPr>
            </w:pPr>
          </w:p>
        </w:tc>
        <w:tc>
          <w:tcPr>
            <w:tcW w:w="915" w:type="dxa"/>
            <w:vMerge/>
            <w:tcBorders>
              <w:left w:val="single" w:sz="4" w:space="0" w:color="auto"/>
              <w:bottom w:val="double" w:sz="4" w:space="0" w:color="auto"/>
              <w:right w:val="single" w:sz="4" w:space="0" w:color="auto"/>
            </w:tcBorders>
            <w:shd w:val="clear" w:color="auto" w:fill="auto"/>
            <w:vAlign w:val="center"/>
          </w:tcPr>
          <w:p w14:paraId="034DDC30" w14:textId="77777777" w:rsidR="00B01611" w:rsidRPr="004870C7" w:rsidRDefault="00B01611" w:rsidP="00E54168">
            <w:pPr>
              <w:jc w:val="center"/>
              <w:rPr>
                <w:rFonts w:asciiTheme="minorHAnsi" w:hAnsiTheme="minorHAnsi" w:cstheme="minorHAnsi"/>
                <w:b/>
                <w:bCs/>
                <w:sz w:val="18"/>
                <w:szCs w:val="18"/>
              </w:rPr>
            </w:pPr>
          </w:p>
        </w:tc>
        <w:tc>
          <w:tcPr>
            <w:tcW w:w="1065" w:type="dxa"/>
            <w:vMerge/>
            <w:tcBorders>
              <w:left w:val="single" w:sz="4" w:space="0" w:color="auto"/>
              <w:bottom w:val="double" w:sz="4" w:space="0" w:color="auto"/>
              <w:right w:val="single" w:sz="4" w:space="0" w:color="auto"/>
            </w:tcBorders>
            <w:vAlign w:val="center"/>
          </w:tcPr>
          <w:p w14:paraId="5D04D688" w14:textId="77777777" w:rsidR="00B01611" w:rsidRPr="004870C7" w:rsidRDefault="00B01611" w:rsidP="00E54168">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DA708FC" w14:textId="77777777" w:rsidR="00B01611" w:rsidRPr="004870C7" w:rsidRDefault="00B01611" w:rsidP="00E54168">
            <w:pPr>
              <w:jc w:val="center"/>
              <w:rPr>
                <w:rFonts w:asciiTheme="minorHAnsi" w:hAnsiTheme="minorHAnsi" w:cstheme="minorHAnsi"/>
                <w:sz w:val="18"/>
                <w:szCs w:val="18"/>
              </w:rPr>
            </w:pPr>
          </w:p>
        </w:tc>
        <w:tc>
          <w:tcPr>
            <w:tcW w:w="162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C107368" w14:textId="77777777" w:rsidR="00B01611" w:rsidRPr="004870C7" w:rsidRDefault="00B01611" w:rsidP="00E54168">
            <w:pPr>
              <w:rPr>
                <w:rFonts w:asciiTheme="minorHAnsi" w:hAnsiTheme="minorHAnsi" w:cstheme="minorHAnsi"/>
                <w:b/>
                <w:bCs/>
                <w:sz w:val="18"/>
                <w:szCs w:val="18"/>
              </w:rPr>
            </w:pPr>
            <w:r w:rsidRPr="004870C7">
              <w:rPr>
                <w:rFonts w:asciiTheme="minorHAnsi" w:hAnsiTheme="minorHAnsi" w:cstheme="minorHAnsi"/>
                <w:b/>
                <w:bCs/>
                <w:sz w:val="18"/>
                <w:szCs w:val="18"/>
              </w:rPr>
              <w:t>Total Outcome 2</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E2817AE" w14:textId="586A6B59" w:rsidR="00B01611" w:rsidRPr="004870C7" w:rsidRDefault="00B01611"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32118D9" w14:textId="7934BE16" w:rsidR="00B01611" w:rsidRPr="004870C7" w:rsidRDefault="003537BA" w:rsidP="00E54168">
            <w:pPr>
              <w:jc w:val="center"/>
              <w:rPr>
                <w:rFonts w:asciiTheme="minorHAnsi" w:hAnsiTheme="minorHAnsi" w:cstheme="minorHAnsi"/>
                <w:sz w:val="18"/>
                <w:szCs w:val="18"/>
              </w:rPr>
            </w:pPr>
            <w:r>
              <w:rPr>
                <w:rFonts w:asciiTheme="minorHAnsi" w:hAnsiTheme="minorHAnsi" w:cstheme="minorHAnsi"/>
                <w:sz w:val="18"/>
                <w:szCs w:val="18"/>
              </w:rPr>
              <w:t>80</w:t>
            </w:r>
            <w:r w:rsidR="007D75DB" w:rsidRPr="004870C7">
              <w:rPr>
                <w:rFonts w:asciiTheme="minorHAnsi" w:hAnsiTheme="minorHAnsi" w:cstheme="minorHAnsi"/>
                <w:sz w:val="18"/>
                <w:szCs w:val="18"/>
              </w:rPr>
              <w:t>,</w:t>
            </w:r>
            <w:r w:rsidR="00B01611"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7C2FDDF" w14:textId="5C935589" w:rsidR="00B01611" w:rsidRPr="004870C7" w:rsidRDefault="003537BA" w:rsidP="00E54168">
            <w:pPr>
              <w:jc w:val="center"/>
              <w:rPr>
                <w:rFonts w:asciiTheme="minorHAnsi" w:hAnsiTheme="minorHAnsi" w:cstheme="minorHAnsi"/>
                <w:sz w:val="18"/>
                <w:szCs w:val="18"/>
              </w:rPr>
            </w:pPr>
            <w:r>
              <w:rPr>
                <w:rFonts w:asciiTheme="minorHAnsi" w:hAnsiTheme="minorHAnsi" w:cstheme="minorHAnsi"/>
                <w:sz w:val="18"/>
                <w:szCs w:val="18"/>
              </w:rPr>
              <w:t>80</w:t>
            </w:r>
            <w:r w:rsidR="007D75DB" w:rsidRPr="004870C7">
              <w:rPr>
                <w:rFonts w:asciiTheme="minorHAnsi" w:hAnsiTheme="minorHAnsi" w:cstheme="minorHAnsi"/>
                <w:sz w:val="18"/>
                <w:szCs w:val="18"/>
              </w:rPr>
              <w:t>,</w:t>
            </w:r>
            <w:r w:rsidR="00B01611"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E9220F7" w14:textId="0B1B463B" w:rsidR="00B01611" w:rsidRPr="00B54400" w:rsidRDefault="00B01611"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37076C1D" w14:textId="3061F65D" w:rsidR="00B01611" w:rsidRPr="00B54400" w:rsidRDefault="00B01611"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32CB59D8" w14:textId="4BFF21FF" w:rsidR="00B01611" w:rsidRPr="00B54400" w:rsidRDefault="00B01611"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3537BA" w:rsidRPr="00B54400">
              <w:rPr>
                <w:rFonts w:asciiTheme="minorHAnsi" w:hAnsiTheme="minorHAnsi" w:cstheme="minorHAnsi"/>
                <w:sz w:val="18"/>
                <w:szCs w:val="18"/>
              </w:rPr>
              <w:t>6</w:t>
            </w:r>
            <w:r w:rsidRPr="00B54400">
              <w:rPr>
                <w:rFonts w:asciiTheme="minorHAnsi" w:hAnsiTheme="minorHAnsi" w:cstheme="minorHAnsi"/>
                <w:sz w:val="18"/>
                <w:szCs w:val="18"/>
              </w:rPr>
              <w:t>0</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double" w:sz="4" w:space="0" w:color="auto"/>
              <w:left w:val="single" w:sz="4" w:space="0" w:color="auto"/>
              <w:bottom w:val="double" w:sz="4" w:space="0" w:color="auto"/>
              <w:right w:val="single" w:sz="4" w:space="0" w:color="auto"/>
            </w:tcBorders>
            <w:vAlign w:val="center"/>
          </w:tcPr>
          <w:p w14:paraId="1A4DC036" w14:textId="77777777" w:rsidR="00B01611" w:rsidRPr="00B54400" w:rsidRDefault="00B01611" w:rsidP="00E54168">
            <w:pPr>
              <w:jc w:val="center"/>
              <w:rPr>
                <w:rFonts w:asciiTheme="minorHAnsi" w:hAnsiTheme="minorHAnsi" w:cstheme="minorHAnsi"/>
                <w:sz w:val="18"/>
                <w:szCs w:val="18"/>
              </w:rPr>
            </w:pPr>
          </w:p>
        </w:tc>
      </w:tr>
      <w:tr w:rsidR="00B01611" w:rsidRPr="004870C7" w14:paraId="57ECEC87" w14:textId="77777777" w:rsidTr="00BD4791">
        <w:trPr>
          <w:cantSplit/>
        </w:trPr>
        <w:tc>
          <w:tcPr>
            <w:tcW w:w="1936" w:type="dxa"/>
            <w:vMerge w:val="restart"/>
            <w:tcBorders>
              <w:top w:val="double" w:sz="4" w:space="0" w:color="auto"/>
              <w:left w:val="double" w:sz="4" w:space="0" w:color="auto"/>
            </w:tcBorders>
            <w:shd w:val="clear" w:color="auto" w:fill="auto"/>
            <w:noWrap/>
            <w:vAlign w:val="center"/>
          </w:tcPr>
          <w:p w14:paraId="55AB87F8" w14:textId="77777777" w:rsidR="00B01611" w:rsidRPr="004870C7" w:rsidRDefault="00B01611" w:rsidP="00E54168">
            <w:pPr>
              <w:jc w:val="center"/>
              <w:rPr>
                <w:rFonts w:asciiTheme="minorHAnsi" w:hAnsiTheme="minorHAnsi" w:cstheme="minorHAnsi"/>
                <w:b/>
                <w:sz w:val="18"/>
                <w:szCs w:val="18"/>
              </w:rPr>
            </w:pPr>
            <w:r w:rsidRPr="004870C7">
              <w:rPr>
                <w:rFonts w:asciiTheme="minorHAnsi" w:hAnsiTheme="minorHAnsi" w:cstheme="minorHAnsi"/>
                <w:sz w:val="18"/>
                <w:szCs w:val="18"/>
              </w:rPr>
              <w:br w:type="page"/>
            </w:r>
          </w:p>
          <w:p w14:paraId="308C0784" w14:textId="77777777" w:rsidR="00B01611" w:rsidRPr="004870C7" w:rsidRDefault="00B01611"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COMPONENT 3:</w:t>
            </w:r>
          </w:p>
          <w:p w14:paraId="0709254E" w14:textId="0164D0A2" w:rsidR="00B01611" w:rsidRPr="004870C7" w:rsidRDefault="00B01611" w:rsidP="00E54168">
            <w:pPr>
              <w:rPr>
                <w:rFonts w:asciiTheme="minorHAnsi" w:hAnsiTheme="minorHAnsi" w:cstheme="minorHAnsi"/>
                <w:iCs/>
                <w:sz w:val="18"/>
                <w:szCs w:val="18"/>
              </w:rPr>
            </w:pPr>
            <w:r w:rsidRPr="004870C7">
              <w:rPr>
                <w:rFonts w:asciiTheme="minorHAnsi" w:hAnsiTheme="minorHAnsi" w:cstheme="minorHAnsi"/>
                <w:iCs/>
                <w:sz w:val="18"/>
                <w:szCs w:val="18"/>
              </w:rPr>
              <w:lastRenderedPageBreak/>
              <w:t>Track Progress of NDC implementation and Achievement and Mitigation Actions</w:t>
            </w:r>
          </w:p>
        </w:tc>
        <w:tc>
          <w:tcPr>
            <w:tcW w:w="1440" w:type="dxa"/>
            <w:vMerge w:val="restart"/>
            <w:tcBorders>
              <w:top w:val="double" w:sz="4" w:space="0" w:color="auto"/>
              <w:left w:val="single" w:sz="4" w:space="0" w:color="auto"/>
              <w:right w:val="single" w:sz="4" w:space="0" w:color="auto"/>
            </w:tcBorders>
            <w:shd w:val="clear" w:color="auto" w:fill="auto"/>
            <w:vAlign w:val="center"/>
          </w:tcPr>
          <w:p w14:paraId="04E8C65B" w14:textId="62E8D095" w:rsidR="00B01611" w:rsidRPr="004870C7" w:rsidRDefault="00B01611"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lastRenderedPageBreak/>
              <w:t>MESPU</w:t>
            </w:r>
          </w:p>
        </w:tc>
        <w:tc>
          <w:tcPr>
            <w:tcW w:w="915" w:type="dxa"/>
            <w:vMerge w:val="restart"/>
            <w:tcBorders>
              <w:top w:val="double" w:sz="4" w:space="0" w:color="auto"/>
              <w:left w:val="single" w:sz="4" w:space="0" w:color="auto"/>
              <w:right w:val="single" w:sz="4" w:space="0" w:color="auto"/>
            </w:tcBorders>
            <w:shd w:val="clear" w:color="auto" w:fill="auto"/>
            <w:vAlign w:val="center"/>
          </w:tcPr>
          <w:p w14:paraId="58E9B27D" w14:textId="75C4884F" w:rsidR="00B01611" w:rsidRPr="004870C7" w:rsidRDefault="00B01611" w:rsidP="00B01611">
            <w:pPr>
              <w:rPr>
                <w:rFonts w:asciiTheme="minorHAnsi" w:hAnsiTheme="minorHAnsi" w:cstheme="minorHAnsi"/>
                <w:b/>
                <w:bCs/>
                <w:sz w:val="18"/>
                <w:szCs w:val="18"/>
              </w:rPr>
            </w:pPr>
            <w:r w:rsidRPr="004870C7">
              <w:rPr>
                <w:rFonts w:asciiTheme="minorHAnsi" w:hAnsiTheme="minorHAnsi" w:cstheme="minorHAnsi"/>
                <w:b/>
                <w:bCs/>
                <w:sz w:val="18"/>
                <w:szCs w:val="18"/>
              </w:rPr>
              <w:t xml:space="preserve">   62000</w:t>
            </w:r>
          </w:p>
        </w:tc>
        <w:tc>
          <w:tcPr>
            <w:tcW w:w="1065" w:type="dxa"/>
            <w:vMerge w:val="restart"/>
            <w:tcBorders>
              <w:top w:val="double" w:sz="4" w:space="0" w:color="auto"/>
              <w:left w:val="single" w:sz="4" w:space="0" w:color="auto"/>
              <w:right w:val="single" w:sz="4" w:space="0" w:color="auto"/>
            </w:tcBorders>
            <w:vAlign w:val="center"/>
          </w:tcPr>
          <w:p w14:paraId="353F3C79" w14:textId="3ADA858A" w:rsidR="00B01611" w:rsidRPr="004870C7" w:rsidRDefault="00B01611" w:rsidP="00B01611">
            <w:pPr>
              <w:jc w:val="center"/>
              <w:rPr>
                <w:rFonts w:asciiTheme="minorHAnsi" w:hAnsiTheme="minorHAnsi" w:cstheme="minorHAnsi"/>
                <w:b/>
                <w:bCs/>
                <w:sz w:val="18"/>
                <w:szCs w:val="18"/>
              </w:rPr>
            </w:pPr>
            <w:r w:rsidRPr="004870C7">
              <w:rPr>
                <w:rFonts w:asciiTheme="minorHAnsi" w:hAnsiTheme="minorHAnsi" w:cstheme="minorHAnsi"/>
                <w:b/>
                <w:bCs/>
                <w:sz w:val="18"/>
                <w:szCs w:val="18"/>
              </w:rPr>
              <w:t>GEF</w:t>
            </w: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FFC805" w14:textId="77777777" w:rsidR="00B01611" w:rsidRPr="004870C7" w:rsidRDefault="00B01611" w:rsidP="00E54168">
            <w:pPr>
              <w:jc w:val="center"/>
              <w:rPr>
                <w:rFonts w:asciiTheme="minorHAnsi" w:hAnsiTheme="minorHAnsi" w:cstheme="minorHAnsi"/>
                <w:sz w:val="18"/>
                <w:szCs w:val="18"/>
              </w:rPr>
            </w:pPr>
            <w:r w:rsidRPr="004870C7">
              <w:rPr>
                <w:rFonts w:asciiTheme="minorHAnsi" w:hAnsiTheme="minorHAnsi" w:cstheme="minorHAnsi"/>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14:paraId="50A94E64" w14:textId="77777777" w:rsidR="00B01611" w:rsidRPr="004870C7" w:rsidRDefault="00B01611" w:rsidP="00E54168">
            <w:pPr>
              <w:rPr>
                <w:rFonts w:asciiTheme="minorHAnsi" w:hAnsiTheme="minorHAnsi" w:cstheme="minorHAnsi"/>
                <w:sz w:val="18"/>
                <w:szCs w:val="18"/>
              </w:rPr>
            </w:pPr>
            <w:r w:rsidRPr="004870C7">
              <w:rPr>
                <w:rFonts w:asciiTheme="minorHAnsi" w:hAnsiTheme="minorHAnsi" w:cstheme="minorHAnsi"/>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A3145B9" w14:textId="4672E878"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7</w:t>
            </w:r>
            <w:r w:rsidR="007D75DB"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F4C7332" w14:textId="189F9F6D"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5</w:t>
            </w:r>
            <w:r w:rsidR="005B772B"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2EC065A" w14:textId="11D13047"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30</w:t>
            </w:r>
            <w:r w:rsidR="005B772B"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3BC8595" w14:textId="276C90C4" w:rsidR="00B01611" w:rsidRPr="00B54400" w:rsidRDefault="004B41CC" w:rsidP="00E54168">
            <w:pPr>
              <w:jc w:val="center"/>
              <w:rPr>
                <w:rFonts w:asciiTheme="minorHAnsi" w:hAnsiTheme="minorHAnsi" w:cstheme="minorHAnsi"/>
                <w:sz w:val="18"/>
                <w:szCs w:val="18"/>
              </w:rPr>
            </w:pPr>
            <w:r w:rsidRPr="00B54400">
              <w:rPr>
                <w:rFonts w:asciiTheme="minorHAnsi" w:hAnsiTheme="minorHAnsi" w:cstheme="minorHAnsi"/>
                <w:sz w:val="18"/>
                <w:szCs w:val="18"/>
              </w:rPr>
              <w:t>9</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vAlign w:val="center"/>
          </w:tcPr>
          <w:p w14:paraId="325D8BA2" w14:textId="05EFF0CC" w:rsidR="00B01611" w:rsidRPr="00B54400" w:rsidRDefault="004B41CC"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vAlign w:val="center"/>
          </w:tcPr>
          <w:p w14:paraId="49C28BE9" w14:textId="6BDC1392" w:rsidR="00B01611" w:rsidRPr="00B54400" w:rsidRDefault="004B41CC" w:rsidP="004B41CC">
            <w:pPr>
              <w:jc w:val="center"/>
              <w:rPr>
                <w:rFonts w:asciiTheme="minorHAnsi" w:hAnsiTheme="minorHAnsi" w:cstheme="minorHAnsi"/>
                <w:sz w:val="18"/>
                <w:szCs w:val="18"/>
              </w:rPr>
            </w:pPr>
            <w:r w:rsidRPr="00B54400">
              <w:rPr>
                <w:rFonts w:asciiTheme="minorHAnsi" w:hAnsiTheme="minorHAnsi" w:cstheme="minorHAnsi"/>
                <w:sz w:val="18"/>
                <w:szCs w:val="18"/>
              </w:rPr>
              <w:t>51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double" w:sz="4" w:space="0" w:color="auto"/>
              <w:left w:val="single" w:sz="4" w:space="0" w:color="auto"/>
              <w:bottom w:val="single" w:sz="4" w:space="0" w:color="auto"/>
              <w:right w:val="single" w:sz="4" w:space="0" w:color="auto"/>
            </w:tcBorders>
            <w:vAlign w:val="center"/>
          </w:tcPr>
          <w:p w14:paraId="50FB68B6" w14:textId="46FEB348" w:rsidR="00B01611"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7</w:t>
            </w:r>
          </w:p>
        </w:tc>
      </w:tr>
      <w:tr w:rsidR="00B01611" w:rsidRPr="004870C7" w14:paraId="037CBEDE" w14:textId="77777777" w:rsidTr="00BD4791">
        <w:trPr>
          <w:cantSplit/>
        </w:trPr>
        <w:tc>
          <w:tcPr>
            <w:tcW w:w="1936" w:type="dxa"/>
            <w:vMerge/>
            <w:tcBorders>
              <w:left w:val="double" w:sz="4" w:space="0" w:color="auto"/>
              <w:right w:val="single" w:sz="4" w:space="0" w:color="auto"/>
            </w:tcBorders>
            <w:shd w:val="clear" w:color="auto" w:fill="auto"/>
            <w:vAlign w:val="center"/>
          </w:tcPr>
          <w:p w14:paraId="373ACBCA" w14:textId="77777777" w:rsidR="00B01611" w:rsidRPr="004870C7" w:rsidRDefault="00B01611" w:rsidP="00E54168">
            <w:pP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65A8C891" w14:textId="77777777" w:rsidR="00B01611" w:rsidRPr="004870C7" w:rsidRDefault="00B01611"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72347C2" w14:textId="77777777" w:rsidR="00B01611" w:rsidRPr="004870C7" w:rsidRDefault="00B01611"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3F84923A" w14:textId="77777777" w:rsidR="00B01611" w:rsidRPr="004870C7" w:rsidRDefault="00B01611" w:rsidP="00E54168">
            <w:pP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A901D" w14:textId="77777777" w:rsidR="00B01611" w:rsidRPr="004870C7" w:rsidRDefault="00B01611" w:rsidP="00E54168">
            <w:pPr>
              <w:jc w:val="center"/>
              <w:rPr>
                <w:rFonts w:asciiTheme="minorHAnsi" w:hAnsiTheme="minorHAnsi" w:cstheme="minorHAnsi"/>
                <w:sz w:val="18"/>
                <w:szCs w:val="18"/>
              </w:rPr>
            </w:pPr>
            <w:r w:rsidRPr="004870C7">
              <w:rPr>
                <w:rFonts w:asciiTheme="minorHAnsi" w:hAnsiTheme="minorHAnsi" w:cstheme="minorHAnsi"/>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A78898" w14:textId="77777777" w:rsidR="00B01611" w:rsidRPr="004870C7" w:rsidRDefault="00B01611" w:rsidP="00E54168">
            <w:pPr>
              <w:rPr>
                <w:rFonts w:asciiTheme="minorHAnsi" w:hAnsiTheme="minorHAnsi" w:cstheme="minorHAnsi"/>
                <w:sz w:val="18"/>
                <w:szCs w:val="18"/>
              </w:rPr>
            </w:pPr>
            <w:r w:rsidRPr="004870C7">
              <w:rPr>
                <w:rFonts w:asciiTheme="minorHAnsi" w:hAnsiTheme="minorHAnsi" w:cstheme="minorHAnsi"/>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03D0" w14:textId="43AEBCAE"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5</w:t>
            </w:r>
            <w:r w:rsidR="007D75DB"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F1F2D" w14:textId="45A23C9D"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13</w:t>
            </w:r>
            <w:r w:rsidR="005B772B"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C84E" w14:textId="2024BE96" w:rsidR="00B01611" w:rsidRPr="004870C7" w:rsidRDefault="004B41CC" w:rsidP="00E54168">
            <w:pPr>
              <w:jc w:val="center"/>
              <w:rPr>
                <w:rFonts w:asciiTheme="minorHAnsi" w:hAnsiTheme="minorHAnsi" w:cstheme="minorHAnsi"/>
                <w:sz w:val="18"/>
                <w:szCs w:val="18"/>
              </w:rPr>
            </w:pPr>
            <w:r w:rsidRPr="004870C7">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32B4" w14:textId="612B05A1" w:rsidR="00B01611" w:rsidRPr="00B54400" w:rsidRDefault="00B22454" w:rsidP="00E54168">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5</w:t>
            </w:r>
            <w:r w:rsidR="004B41CC"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0295D91E" w14:textId="5BC8ACBE" w:rsidR="00B01611" w:rsidRPr="00B54400" w:rsidRDefault="004B41CC"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49B71071" w14:textId="59A3E9C4" w:rsidR="00B01611" w:rsidRPr="00B54400" w:rsidRDefault="004B41CC" w:rsidP="004B41CC">
            <w:pPr>
              <w:jc w:val="center"/>
              <w:rPr>
                <w:rFonts w:asciiTheme="minorHAnsi" w:hAnsiTheme="minorHAnsi" w:cstheme="minorHAnsi"/>
                <w:sz w:val="18"/>
                <w:szCs w:val="18"/>
              </w:rPr>
            </w:pPr>
            <w:r w:rsidRPr="00B54400">
              <w:rPr>
                <w:rFonts w:asciiTheme="minorHAnsi" w:hAnsiTheme="minorHAnsi" w:cstheme="minorHAnsi"/>
                <w:sz w:val="18"/>
                <w:szCs w:val="18"/>
              </w:rPr>
              <w:t>2</w:t>
            </w:r>
            <w:r w:rsidR="00B22454" w:rsidRPr="00B54400">
              <w:rPr>
                <w:rFonts w:asciiTheme="minorHAnsi" w:hAnsiTheme="minorHAnsi" w:cstheme="minorHAnsi"/>
                <w:sz w:val="18"/>
                <w:szCs w:val="18"/>
              </w:rPr>
              <w:t>2</w:t>
            </w:r>
            <w:r w:rsidR="005B772B" w:rsidRPr="00B54400">
              <w:rPr>
                <w:rFonts w:asciiTheme="minorHAnsi" w:hAnsiTheme="minorHAnsi" w:cstheme="minorHAnsi"/>
                <w:sz w:val="18"/>
                <w:szCs w:val="18"/>
              </w:rPr>
              <w:t>,</w:t>
            </w:r>
            <w:r w:rsidR="00B22454"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764" w:type="dxa"/>
            <w:tcBorders>
              <w:top w:val="single" w:sz="4" w:space="0" w:color="auto"/>
              <w:left w:val="single" w:sz="4" w:space="0" w:color="auto"/>
              <w:bottom w:val="single" w:sz="4" w:space="0" w:color="auto"/>
              <w:right w:val="single" w:sz="4" w:space="0" w:color="auto"/>
            </w:tcBorders>
            <w:vAlign w:val="center"/>
          </w:tcPr>
          <w:p w14:paraId="589C6933" w14:textId="3430AA2C" w:rsidR="00B01611"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8</w:t>
            </w:r>
          </w:p>
        </w:tc>
      </w:tr>
      <w:tr w:rsidR="00B01611" w:rsidRPr="004870C7" w14:paraId="67375474" w14:textId="77777777" w:rsidTr="00BD4791">
        <w:trPr>
          <w:cantSplit/>
        </w:trPr>
        <w:tc>
          <w:tcPr>
            <w:tcW w:w="1936" w:type="dxa"/>
            <w:vMerge/>
            <w:tcBorders>
              <w:left w:val="double" w:sz="4" w:space="0" w:color="auto"/>
              <w:right w:val="single" w:sz="4" w:space="0" w:color="auto"/>
            </w:tcBorders>
            <w:shd w:val="clear" w:color="auto" w:fill="auto"/>
            <w:vAlign w:val="center"/>
          </w:tcPr>
          <w:p w14:paraId="63B30F5B" w14:textId="77777777" w:rsidR="00B01611" w:rsidRPr="004870C7" w:rsidRDefault="00B01611" w:rsidP="00E54168">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6761058D" w14:textId="77777777" w:rsidR="00B01611" w:rsidRPr="004870C7" w:rsidRDefault="00B01611"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01ED6DB" w14:textId="77777777" w:rsidR="00B01611" w:rsidRPr="004870C7" w:rsidRDefault="00B01611"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0A2540DD" w14:textId="77777777" w:rsidR="00B01611" w:rsidRPr="004870C7" w:rsidRDefault="00B01611"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625B1" w14:textId="77777777" w:rsidR="00B01611" w:rsidRPr="004870C7" w:rsidRDefault="00B01611" w:rsidP="00E54168">
            <w:pPr>
              <w:jc w:val="center"/>
              <w:rPr>
                <w:rFonts w:asciiTheme="minorHAnsi" w:hAnsiTheme="minorHAnsi" w:cstheme="minorHAnsi"/>
                <w:sz w:val="18"/>
                <w:szCs w:val="18"/>
              </w:rPr>
            </w:pPr>
            <w:r w:rsidRPr="004870C7">
              <w:rPr>
                <w:rFonts w:asciiTheme="minorHAnsi" w:hAnsiTheme="minorHAnsi" w:cstheme="minorHAnsi"/>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D51D" w14:textId="77777777" w:rsidR="00B01611" w:rsidRPr="004870C7" w:rsidRDefault="00B01611" w:rsidP="00E54168">
            <w:pPr>
              <w:rPr>
                <w:rFonts w:asciiTheme="minorHAnsi" w:hAnsiTheme="minorHAnsi" w:cstheme="minorHAnsi"/>
                <w:sz w:val="18"/>
                <w:szCs w:val="18"/>
              </w:rPr>
            </w:pPr>
            <w:r w:rsidRPr="004870C7">
              <w:rPr>
                <w:rFonts w:asciiTheme="minorHAnsi" w:hAnsiTheme="minorHAnsi" w:cstheme="minorHAnsi"/>
                <w:sz w:val="18"/>
                <w:szCs w:val="18"/>
              </w:rPr>
              <w:t>Contractual services - 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C7CE5" w14:textId="78CEC43D" w:rsidR="00B01611" w:rsidRPr="00B54400" w:rsidRDefault="004B41CC"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04258" w14:textId="19C33A2C" w:rsidR="00B01611" w:rsidRPr="00B54400" w:rsidRDefault="00DA7980" w:rsidP="00E54168">
            <w:pPr>
              <w:jc w:val="center"/>
              <w:rPr>
                <w:rFonts w:asciiTheme="minorHAnsi" w:hAnsiTheme="minorHAnsi" w:cstheme="minorHAnsi"/>
                <w:sz w:val="18"/>
                <w:szCs w:val="18"/>
              </w:rPr>
            </w:pPr>
            <w:r w:rsidRPr="00B54400">
              <w:rPr>
                <w:rFonts w:asciiTheme="minorHAnsi" w:hAnsiTheme="minorHAnsi" w:cstheme="minorHAnsi"/>
                <w:sz w:val="18"/>
                <w:szCs w:val="18"/>
              </w:rPr>
              <w:t>3</w:t>
            </w:r>
            <w:r w:rsidR="004B41CC" w:rsidRPr="00B54400">
              <w:rPr>
                <w:rFonts w:asciiTheme="minorHAnsi" w:hAnsiTheme="minorHAnsi" w:cstheme="minorHAnsi"/>
                <w:sz w:val="18"/>
                <w:szCs w:val="18"/>
              </w:rPr>
              <w:t>2</w:t>
            </w:r>
            <w:r w:rsidR="005B772B" w:rsidRPr="00B54400">
              <w:rPr>
                <w:rFonts w:asciiTheme="minorHAnsi" w:hAnsiTheme="minorHAnsi" w:cstheme="minorHAnsi"/>
                <w:sz w:val="18"/>
                <w:szCs w:val="18"/>
              </w:rPr>
              <w:t>,</w:t>
            </w:r>
            <w:r w:rsidR="004B41CC"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2321" w14:textId="70744880" w:rsidR="00B01611" w:rsidRPr="00B54400" w:rsidRDefault="004B41CC"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677D1" w14:textId="3EBA89FD" w:rsidR="00B01611" w:rsidRPr="00B54400" w:rsidRDefault="004B41CC"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501F43B3" w14:textId="154C7B7D" w:rsidR="00B01611" w:rsidRPr="00B54400" w:rsidRDefault="004B41CC"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5A74FB67" w14:textId="19E48059" w:rsidR="00B01611" w:rsidRPr="00B54400" w:rsidRDefault="00DA7980" w:rsidP="004B41CC">
            <w:pPr>
              <w:jc w:val="center"/>
              <w:rPr>
                <w:rFonts w:asciiTheme="minorHAnsi" w:hAnsiTheme="minorHAnsi" w:cstheme="minorHAnsi"/>
                <w:sz w:val="18"/>
                <w:szCs w:val="18"/>
              </w:rPr>
            </w:pPr>
            <w:r w:rsidRPr="00B54400">
              <w:rPr>
                <w:rFonts w:asciiTheme="minorHAnsi" w:hAnsiTheme="minorHAnsi" w:cstheme="minorHAnsi"/>
                <w:sz w:val="18"/>
                <w:szCs w:val="18"/>
              </w:rPr>
              <w:t>4</w:t>
            </w:r>
            <w:r w:rsidR="004B41CC" w:rsidRPr="00B54400">
              <w:rPr>
                <w:rFonts w:asciiTheme="minorHAnsi" w:hAnsiTheme="minorHAnsi" w:cstheme="minorHAnsi"/>
                <w:sz w:val="18"/>
                <w:szCs w:val="18"/>
              </w:rPr>
              <w:t>2</w:t>
            </w:r>
            <w:r w:rsidR="005B772B" w:rsidRPr="00B54400">
              <w:rPr>
                <w:rFonts w:asciiTheme="minorHAnsi" w:hAnsiTheme="minorHAnsi" w:cstheme="minorHAnsi"/>
                <w:sz w:val="18"/>
                <w:szCs w:val="18"/>
              </w:rPr>
              <w:t>,</w:t>
            </w:r>
            <w:r w:rsidR="004B41CC"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vAlign w:val="center"/>
          </w:tcPr>
          <w:p w14:paraId="4E8F36D4" w14:textId="49FD2BBB" w:rsidR="00B01611"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9</w:t>
            </w:r>
          </w:p>
        </w:tc>
      </w:tr>
      <w:tr w:rsidR="00AF58E7" w:rsidRPr="004870C7" w14:paraId="51938F2F" w14:textId="77777777" w:rsidTr="00BD4791">
        <w:trPr>
          <w:cantSplit/>
        </w:trPr>
        <w:tc>
          <w:tcPr>
            <w:tcW w:w="1936" w:type="dxa"/>
            <w:vMerge/>
            <w:tcBorders>
              <w:left w:val="double" w:sz="4" w:space="0" w:color="auto"/>
              <w:right w:val="single" w:sz="4" w:space="0" w:color="auto"/>
            </w:tcBorders>
            <w:shd w:val="clear" w:color="auto" w:fill="auto"/>
            <w:vAlign w:val="center"/>
          </w:tcPr>
          <w:p w14:paraId="50AFE67E" w14:textId="77777777" w:rsidR="00AF58E7" w:rsidRPr="004870C7" w:rsidRDefault="00AF58E7" w:rsidP="00E54168">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072A4F63"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7D3433BF"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56B21BB9"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E736F" w14:textId="35C34AF6"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72400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1A07" w14:textId="0FC8C6D3"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Communications &amp; Audio-visual Eqp.</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65AEF" w14:textId="571944CB"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B34E1" w14:textId="2E73E686"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85C1B" w14:textId="7C69D54C"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22C69" w14:textId="793621CE"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B22454"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5D3E7F40" w14:textId="23830553"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41A4A28D" w14:textId="3AA831CA"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00B22454"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CCF11" w14:textId="3893FFB3" w:rsidR="00AF58E7" w:rsidRPr="00B54400" w:rsidRDefault="00AD30FF" w:rsidP="00E54168">
            <w:pPr>
              <w:jc w:val="center"/>
              <w:rPr>
                <w:rFonts w:asciiTheme="minorHAnsi" w:hAnsiTheme="minorHAnsi" w:cstheme="minorHAnsi"/>
                <w:sz w:val="18"/>
                <w:szCs w:val="18"/>
              </w:rPr>
            </w:pPr>
            <w:r w:rsidRPr="00B54400">
              <w:rPr>
                <w:rFonts w:asciiTheme="minorHAnsi" w:hAnsiTheme="minorHAnsi" w:cstheme="minorHAnsi"/>
                <w:sz w:val="18"/>
                <w:szCs w:val="18"/>
              </w:rPr>
              <w:t>4</w:t>
            </w:r>
          </w:p>
        </w:tc>
      </w:tr>
      <w:tr w:rsidR="00AF58E7" w:rsidRPr="004870C7" w14:paraId="6057A1F1" w14:textId="77777777" w:rsidTr="00BD4791">
        <w:trPr>
          <w:cantSplit/>
        </w:trPr>
        <w:tc>
          <w:tcPr>
            <w:tcW w:w="1936" w:type="dxa"/>
            <w:vMerge/>
            <w:tcBorders>
              <w:left w:val="double" w:sz="4" w:space="0" w:color="auto"/>
              <w:right w:val="single" w:sz="4" w:space="0" w:color="auto"/>
            </w:tcBorders>
            <w:shd w:val="clear" w:color="auto" w:fill="auto"/>
            <w:vAlign w:val="center"/>
          </w:tcPr>
          <w:p w14:paraId="24E8D4C5" w14:textId="77777777" w:rsidR="00AF58E7" w:rsidRPr="004870C7" w:rsidRDefault="00AF58E7" w:rsidP="00E54168">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1337431D"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bottom w:val="single" w:sz="4" w:space="0" w:color="auto"/>
              <w:right w:val="single" w:sz="4" w:space="0" w:color="auto"/>
            </w:tcBorders>
            <w:shd w:val="clear" w:color="auto" w:fill="auto"/>
            <w:vAlign w:val="center"/>
          </w:tcPr>
          <w:p w14:paraId="4A167631"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bottom w:val="single" w:sz="4" w:space="0" w:color="auto"/>
              <w:right w:val="single" w:sz="4" w:space="0" w:color="auto"/>
            </w:tcBorders>
            <w:vAlign w:val="center"/>
          </w:tcPr>
          <w:p w14:paraId="5AC11AA7"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8653D" w14:textId="77777777" w:rsidR="00AF58E7" w:rsidRPr="004870C7" w:rsidRDefault="00AF58E7" w:rsidP="00E54168">
            <w:pPr>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B691" w14:textId="77777777"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b/>
                <w:bCs/>
                <w:sz w:val="18"/>
                <w:szCs w:val="18"/>
              </w:rPr>
              <w:t>sub-total GEF</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B79C" w14:textId="511D97C3" w:rsidR="00AF58E7" w:rsidRPr="00B54400" w:rsidRDefault="00AF58E7" w:rsidP="00E54168">
            <w:pPr>
              <w:jc w:val="center"/>
              <w:rPr>
                <w:rFonts w:asciiTheme="minorHAnsi" w:hAnsiTheme="minorHAnsi" w:cstheme="minorHAnsi"/>
                <w:b/>
                <w:sz w:val="18"/>
                <w:szCs w:val="18"/>
              </w:rPr>
            </w:pPr>
            <w:r w:rsidRPr="00B54400">
              <w:rPr>
                <w:rFonts w:asciiTheme="minorHAnsi" w:hAnsiTheme="minorHAnsi" w:cstheme="minorHAnsi"/>
                <w:b/>
                <w:sz w:val="18"/>
                <w:szCs w:val="18"/>
              </w:rPr>
              <w:t>13</w:t>
            </w:r>
            <w:r w:rsidR="005B772B"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BAD4" w14:textId="3E83BA02" w:rsidR="00AF58E7" w:rsidRPr="00B54400" w:rsidRDefault="00AF58E7" w:rsidP="00E54168">
            <w:pPr>
              <w:jc w:val="center"/>
              <w:rPr>
                <w:rFonts w:asciiTheme="minorHAnsi" w:hAnsiTheme="minorHAnsi" w:cstheme="minorHAnsi"/>
                <w:b/>
                <w:sz w:val="18"/>
                <w:szCs w:val="18"/>
              </w:rPr>
            </w:pPr>
            <w:r w:rsidRPr="00B54400">
              <w:rPr>
                <w:rFonts w:asciiTheme="minorHAnsi" w:hAnsiTheme="minorHAnsi" w:cstheme="minorHAnsi"/>
                <w:b/>
                <w:sz w:val="18"/>
                <w:szCs w:val="18"/>
              </w:rPr>
              <w:t>51</w:t>
            </w:r>
            <w:r w:rsidR="005B772B"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4B15" w14:textId="7BF95F1D" w:rsidR="00AF58E7" w:rsidRPr="00B54400" w:rsidRDefault="00AF58E7" w:rsidP="00E54168">
            <w:pPr>
              <w:jc w:val="center"/>
              <w:rPr>
                <w:rFonts w:asciiTheme="minorHAnsi" w:hAnsiTheme="minorHAnsi" w:cstheme="minorHAnsi"/>
                <w:b/>
                <w:sz w:val="18"/>
                <w:szCs w:val="18"/>
              </w:rPr>
            </w:pPr>
            <w:r w:rsidRPr="00B54400">
              <w:rPr>
                <w:rFonts w:asciiTheme="minorHAnsi" w:hAnsiTheme="minorHAnsi" w:cstheme="minorHAnsi"/>
                <w:b/>
                <w:sz w:val="18"/>
                <w:szCs w:val="18"/>
              </w:rPr>
              <w:t>41</w:t>
            </w:r>
            <w:r w:rsidR="005B772B"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125F7" w14:textId="7355421D" w:rsidR="00AF58E7" w:rsidRPr="00B54400" w:rsidRDefault="00AF58E7" w:rsidP="00E54168">
            <w:pPr>
              <w:jc w:val="center"/>
              <w:rPr>
                <w:rFonts w:asciiTheme="minorHAnsi" w:hAnsiTheme="minorHAnsi" w:cstheme="minorHAnsi"/>
                <w:b/>
                <w:sz w:val="18"/>
                <w:szCs w:val="18"/>
              </w:rPr>
            </w:pPr>
            <w:r w:rsidRPr="00B54400">
              <w:rPr>
                <w:rFonts w:asciiTheme="minorHAnsi" w:hAnsiTheme="minorHAnsi" w:cstheme="minorHAnsi"/>
                <w:b/>
                <w:sz w:val="18"/>
                <w:szCs w:val="18"/>
              </w:rPr>
              <w:t>15</w:t>
            </w:r>
            <w:r w:rsidR="005B772B"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vAlign w:val="center"/>
          </w:tcPr>
          <w:p w14:paraId="0F9A5D90" w14:textId="243CE09C" w:rsidR="00AF58E7" w:rsidRPr="00B54400" w:rsidRDefault="00AF58E7" w:rsidP="004B41CC">
            <w:pPr>
              <w:jc w:val="center"/>
              <w:rPr>
                <w:rFonts w:asciiTheme="minorHAnsi" w:hAnsiTheme="minorHAnsi" w:cstheme="minorHAnsi"/>
                <w:b/>
                <w:sz w:val="18"/>
                <w:szCs w:val="18"/>
              </w:rPr>
            </w:pPr>
            <w:r w:rsidRPr="00B54400">
              <w:rPr>
                <w:rFonts w:asciiTheme="minorHAnsi" w:hAnsiTheme="minorHAnsi" w:cstheme="minorHAnsi"/>
                <w:b/>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300405DA" w14:textId="7CAFB271" w:rsidR="00AF58E7" w:rsidRPr="00B54400" w:rsidRDefault="00AF58E7" w:rsidP="004B41CC">
            <w:pPr>
              <w:jc w:val="center"/>
              <w:rPr>
                <w:rFonts w:asciiTheme="minorHAnsi" w:hAnsiTheme="minorHAnsi" w:cstheme="minorHAnsi"/>
                <w:b/>
                <w:sz w:val="18"/>
                <w:szCs w:val="18"/>
              </w:rPr>
            </w:pPr>
            <w:r w:rsidRPr="00B54400">
              <w:rPr>
                <w:rFonts w:asciiTheme="minorHAnsi" w:hAnsiTheme="minorHAnsi" w:cstheme="minorHAnsi"/>
                <w:b/>
                <w:sz w:val="18"/>
                <w:szCs w:val="18"/>
              </w:rPr>
              <w:t>120</w:t>
            </w:r>
            <w:r w:rsidR="005B772B" w:rsidRPr="00B54400">
              <w:rPr>
                <w:rFonts w:asciiTheme="minorHAnsi" w:hAnsiTheme="minorHAnsi" w:cstheme="minorHAnsi"/>
                <w:b/>
                <w:sz w:val="18"/>
                <w:szCs w:val="18"/>
              </w:rPr>
              <w:t>,</w:t>
            </w:r>
            <w:r w:rsidRPr="00B54400">
              <w:rPr>
                <w:rFonts w:asciiTheme="minorHAnsi" w:hAnsiTheme="minorHAnsi" w:cstheme="minorHAnsi"/>
                <w:b/>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39F0" w14:textId="1C084787" w:rsidR="00AF58E7" w:rsidRPr="00B54400" w:rsidRDefault="00AF58E7" w:rsidP="00E54168">
            <w:pPr>
              <w:jc w:val="center"/>
              <w:rPr>
                <w:rFonts w:asciiTheme="minorHAnsi" w:hAnsiTheme="minorHAnsi" w:cstheme="minorHAnsi"/>
                <w:b/>
                <w:sz w:val="18"/>
                <w:szCs w:val="18"/>
              </w:rPr>
            </w:pPr>
          </w:p>
        </w:tc>
      </w:tr>
      <w:tr w:rsidR="00AF58E7" w:rsidRPr="004870C7" w14:paraId="0A9FEAA6" w14:textId="77777777" w:rsidTr="00BD4791">
        <w:trPr>
          <w:cantSplit/>
        </w:trPr>
        <w:tc>
          <w:tcPr>
            <w:tcW w:w="1936" w:type="dxa"/>
            <w:vMerge/>
            <w:tcBorders>
              <w:left w:val="double" w:sz="4" w:space="0" w:color="auto"/>
              <w:bottom w:val="double" w:sz="4" w:space="0" w:color="auto"/>
              <w:right w:val="single" w:sz="4" w:space="0" w:color="auto"/>
            </w:tcBorders>
            <w:shd w:val="clear" w:color="auto" w:fill="auto"/>
            <w:vAlign w:val="center"/>
          </w:tcPr>
          <w:p w14:paraId="3DB441DE" w14:textId="77777777" w:rsidR="00AF58E7" w:rsidRPr="004870C7" w:rsidRDefault="00AF58E7" w:rsidP="00E54168">
            <w:pPr>
              <w:rPr>
                <w:rFonts w:asciiTheme="minorHAnsi" w:hAnsiTheme="minorHAnsi" w:cstheme="minorHAnsi"/>
                <w:sz w:val="18"/>
                <w:szCs w:val="18"/>
              </w:rPr>
            </w:pPr>
          </w:p>
        </w:tc>
        <w:tc>
          <w:tcPr>
            <w:tcW w:w="1440" w:type="dxa"/>
            <w:vMerge/>
            <w:tcBorders>
              <w:left w:val="single" w:sz="4" w:space="0" w:color="auto"/>
              <w:bottom w:val="double" w:sz="4" w:space="0" w:color="auto"/>
              <w:right w:val="single" w:sz="4" w:space="0" w:color="auto"/>
            </w:tcBorders>
            <w:shd w:val="clear" w:color="auto" w:fill="auto"/>
            <w:vAlign w:val="center"/>
          </w:tcPr>
          <w:p w14:paraId="474FBC29" w14:textId="77777777" w:rsidR="00AF58E7" w:rsidRPr="004870C7" w:rsidRDefault="00AF58E7" w:rsidP="00E54168">
            <w:pPr>
              <w:jc w:val="center"/>
              <w:rPr>
                <w:rFonts w:asciiTheme="minorHAnsi" w:hAnsiTheme="minorHAnsi" w:cstheme="minorHAnsi"/>
                <w:b/>
                <w:bCs/>
                <w:sz w:val="18"/>
                <w:szCs w:val="18"/>
              </w:rPr>
            </w:pPr>
          </w:p>
        </w:tc>
        <w:tc>
          <w:tcPr>
            <w:tcW w:w="915" w:type="dxa"/>
            <w:tcBorders>
              <w:top w:val="double" w:sz="4" w:space="0" w:color="auto"/>
              <w:left w:val="single" w:sz="4" w:space="0" w:color="auto"/>
              <w:bottom w:val="double" w:sz="4" w:space="0" w:color="auto"/>
              <w:right w:val="single" w:sz="4" w:space="0" w:color="auto"/>
            </w:tcBorders>
            <w:shd w:val="clear" w:color="auto" w:fill="auto"/>
            <w:vAlign w:val="center"/>
          </w:tcPr>
          <w:p w14:paraId="58F25AEB"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vAlign w:val="center"/>
          </w:tcPr>
          <w:p w14:paraId="6496C408"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6EB5EDF" w14:textId="77777777" w:rsidR="00AF58E7" w:rsidRPr="004870C7" w:rsidRDefault="00AF58E7" w:rsidP="00E54168">
            <w:pPr>
              <w:jc w:val="center"/>
              <w:rPr>
                <w:rFonts w:asciiTheme="minorHAnsi" w:hAnsiTheme="minorHAnsi" w:cstheme="minorHAnsi"/>
                <w:sz w:val="18"/>
                <w:szCs w:val="18"/>
              </w:rPr>
            </w:pPr>
          </w:p>
        </w:tc>
        <w:tc>
          <w:tcPr>
            <w:tcW w:w="162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EA33D13" w14:textId="20C53F4F" w:rsidR="00AF58E7" w:rsidRPr="004870C7" w:rsidRDefault="00AF58E7" w:rsidP="00E54168">
            <w:pPr>
              <w:rPr>
                <w:rFonts w:asciiTheme="minorHAnsi" w:hAnsiTheme="minorHAnsi" w:cstheme="minorHAnsi"/>
                <w:b/>
                <w:bCs/>
                <w:sz w:val="18"/>
                <w:szCs w:val="18"/>
              </w:rPr>
            </w:pPr>
            <w:r w:rsidRPr="004870C7">
              <w:rPr>
                <w:rFonts w:asciiTheme="minorHAnsi" w:hAnsiTheme="minorHAnsi" w:cstheme="minorHAnsi"/>
                <w:b/>
                <w:bCs/>
                <w:sz w:val="18"/>
                <w:szCs w:val="18"/>
              </w:rPr>
              <w:t xml:space="preserve">Total Outcome </w:t>
            </w:r>
            <w:r w:rsidR="005836E5" w:rsidRPr="004870C7">
              <w:rPr>
                <w:rFonts w:asciiTheme="minorHAnsi" w:hAnsiTheme="minorHAnsi" w:cstheme="minorHAnsi"/>
                <w:b/>
                <w:bCs/>
                <w:sz w:val="18"/>
                <w:szCs w:val="18"/>
              </w:rPr>
              <w:t>3</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76AADE3" w14:textId="6C5BA0A7"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13</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429DA8D8" w14:textId="07A2F10E"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51</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56335F8" w14:textId="57BF449C"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41</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A1A3A38" w14:textId="580C0E8B"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15</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vAlign w:val="center"/>
          </w:tcPr>
          <w:p w14:paraId="1B3848FE" w14:textId="4E818AC7" w:rsidR="00AF58E7" w:rsidRPr="00B54400" w:rsidRDefault="00AF58E7"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0</w:t>
            </w:r>
          </w:p>
        </w:tc>
        <w:tc>
          <w:tcPr>
            <w:tcW w:w="885" w:type="dxa"/>
            <w:tcBorders>
              <w:top w:val="double" w:sz="4" w:space="0" w:color="auto"/>
              <w:left w:val="single" w:sz="4" w:space="0" w:color="auto"/>
              <w:bottom w:val="double" w:sz="4" w:space="0" w:color="auto"/>
              <w:right w:val="single" w:sz="4" w:space="0" w:color="auto"/>
            </w:tcBorders>
            <w:vAlign w:val="center"/>
          </w:tcPr>
          <w:p w14:paraId="5954F929" w14:textId="4FE72EB5" w:rsidR="00AF58E7" w:rsidRPr="00B54400" w:rsidRDefault="00AF58E7"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120</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76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BE77F46" w14:textId="04ACC1C4" w:rsidR="00AF58E7" w:rsidRPr="00B54400" w:rsidRDefault="00AF58E7" w:rsidP="00E54168">
            <w:pPr>
              <w:jc w:val="center"/>
              <w:rPr>
                <w:rFonts w:asciiTheme="minorHAnsi" w:hAnsiTheme="minorHAnsi" w:cstheme="minorHAnsi"/>
                <w:sz w:val="18"/>
                <w:szCs w:val="18"/>
              </w:rPr>
            </w:pPr>
          </w:p>
        </w:tc>
      </w:tr>
      <w:tr w:rsidR="00AF58E7" w:rsidRPr="004870C7" w14:paraId="10F0EA3E" w14:textId="77777777" w:rsidTr="00BD4791">
        <w:trPr>
          <w:cantSplit/>
        </w:trPr>
        <w:tc>
          <w:tcPr>
            <w:tcW w:w="1936" w:type="dxa"/>
            <w:vMerge w:val="restart"/>
            <w:tcBorders>
              <w:top w:val="double" w:sz="4" w:space="0" w:color="auto"/>
              <w:left w:val="double" w:sz="4" w:space="0" w:color="auto"/>
            </w:tcBorders>
            <w:shd w:val="clear" w:color="auto" w:fill="auto"/>
            <w:noWrap/>
            <w:vAlign w:val="center"/>
          </w:tcPr>
          <w:p w14:paraId="2673D379" w14:textId="77777777" w:rsidR="00AF58E7" w:rsidRPr="004870C7" w:rsidRDefault="00AF58E7"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COMPONENT 4:</w:t>
            </w:r>
          </w:p>
          <w:p w14:paraId="27EB5A02" w14:textId="01FD62F4"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Climate Change Impacts and Adaptation</w:t>
            </w:r>
          </w:p>
        </w:tc>
        <w:tc>
          <w:tcPr>
            <w:tcW w:w="1440" w:type="dxa"/>
            <w:vMerge w:val="restart"/>
            <w:tcBorders>
              <w:top w:val="double" w:sz="4" w:space="0" w:color="auto"/>
              <w:left w:val="single" w:sz="4" w:space="0" w:color="auto"/>
              <w:right w:val="single" w:sz="4" w:space="0" w:color="auto"/>
            </w:tcBorders>
            <w:shd w:val="clear" w:color="auto" w:fill="auto"/>
            <w:vAlign w:val="center"/>
          </w:tcPr>
          <w:p w14:paraId="0AE8C3AA" w14:textId="37B137C5" w:rsidR="00AF58E7" w:rsidRPr="004870C7" w:rsidRDefault="00AF58E7"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MESPU</w:t>
            </w:r>
          </w:p>
        </w:tc>
        <w:tc>
          <w:tcPr>
            <w:tcW w:w="915" w:type="dxa"/>
            <w:vMerge w:val="restart"/>
            <w:tcBorders>
              <w:top w:val="double" w:sz="4" w:space="0" w:color="auto"/>
              <w:left w:val="single" w:sz="4" w:space="0" w:color="auto"/>
              <w:right w:val="single" w:sz="4" w:space="0" w:color="auto"/>
            </w:tcBorders>
            <w:shd w:val="clear" w:color="auto" w:fill="auto"/>
            <w:vAlign w:val="center"/>
          </w:tcPr>
          <w:p w14:paraId="1EA7086F" w14:textId="6BB71E7B" w:rsidR="00AF58E7" w:rsidRPr="004870C7" w:rsidRDefault="00AF58E7" w:rsidP="00E54168">
            <w:pPr>
              <w:rPr>
                <w:rFonts w:asciiTheme="minorHAnsi" w:hAnsiTheme="minorHAnsi" w:cstheme="minorHAnsi"/>
                <w:b/>
                <w:bCs/>
                <w:sz w:val="18"/>
                <w:szCs w:val="18"/>
              </w:rPr>
            </w:pPr>
            <w:r w:rsidRPr="004870C7">
              <w:rPr>
                <w:rFonts w:asciiTheme="minorHAnsi" w:hAnsiTheme="minorHAnsi" w:cstheme="minorHAnsi"/>
                <w:b/>
                <w:bCs/>
                <w:sz w:val="18"/>
                <w:szCs w:val="18"/>
              </w:rPr>
              <w:t>62000</w:t>
            </w:r>
          </w:p>
        </w:tc>
        <w:tc>
          <w:tcPr>
            <w:tcW w:w="1065" w:type="dxa"/>
            <w:vMerge w:val="restart"/>
            <w:tcBorders>
              <w:top w:val="double" w:sz="4" w:space="0" w:color="auto"/>
              <w:left w:val="single" w:sz="4" w:space="0" w:color="auto"/>
              <w:right w:val="single" w:sz="4" w:space="0" w:color="auto"/>
            </w:tcBorders>
            <w:vAlign w:val="center"/>
          </w:tcPr>
          <w:p w14:paraId="08FB3C3B" w14:textId="7F423B6F" w:rsidR="00AF58E7" w:rsidRPr="004870C7" w:rsidRDefault="00AF58E7" w:rsidP="00E54168">
            <w:pPr>
              <w:jc w:val="center"/>
              <w:rPr>
                <w:rFonts w:asciiTheme="minorHAnsi" w:hAnsiTheme="minorHAnsi" w:cstheme="minorHAnsi"/>
                <w:b/>
                <w:bCs/>
                <w:sz w:val="18"/>
                <w:szCs w:val="18"/>
              </w:rPr>
            </w:pPr>
            <w:r w:rsidRPr="004870C7">
              <w:rPr>
                <w:rFonts w:asciiTheme="minorHAnsi" w:hAnsiTheme="minorHAnsi" w:cstheme="minorHAnsi"/>
                <w:b/>
                <w:bCs/>
                <w:sz w:val="18"/>
                <w:szCs w:val="18"/>
              </w:rPr>
              <w:t>GEF Trustee</w:t>
            </w: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94255DD" w14:textId="55604D56"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14:paraId="70E4BC20" w14:textId="7A28573E"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2120459" w14:textId="34499DE6"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83D9363" w14:textId="05E964A3"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D4C1AA0" w14:textId="2E430964"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BA647E9" w14:textId="29145AF9"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vAlign w:val="center"/>
          </w:tcPr>
          <w:p w14:paraId="3521A30A" w14:textId="49082A20"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vAlign w:val="center"/>
          </w:tcPr>
          <w:p w14:paraId="667897F6" w14:textId="21BF3B69"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24</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B6AB6B2" w14:textId="209D585A" w:rsidR="00AF58E7"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p>
        </w:tc>
      </w:tr>
      <w:tr w:rsidR="00AF58E7" w:rsidRPr="004870C7" w14:paraId="394428D3" w14:textId="77777777" w:rsidTr="00BD4791">
        <w:trPr>
          <w:cantSplit/>
        </w:trPr>
        <w:tc>
          <w:tcPr>
            <w:tcW w:w="1936" w:type="dxa"/>
            <w:vMerge/>
            <w:tcBorders>
              <w:left w:val="double" w:sz="4" w:space="0" w:color="auto"/>
            </w:tcBorders>
            <w:shd w:val="clear" w:color="auto" w:fill="auto"/>
            <w:noWrap/>
            <w:vAlign w:val="center"/>
          </w:tcPr>
          <w:p w14:paraId="5ADB5225"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2AEB2DC9"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B48316B"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3B9C8E98"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723F5" w14:textId="2167A145"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CB0D1A" w14:textId="0B27694B"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26089" w14:textId="0B6C41D7"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8</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30D8" w14:textId="655866FF"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8</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A448" w14:textId="1DC7EBF5"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8</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F2F4E" w14:textId="0BAA03FD" w:rsidR="00AF58E7" w:rsidRPr="00B54400" w:rsidRDefault="007F24D7" w:rsidP="00E54168">
            <w:pPr>
              <w:jc w:val="center"/>
              <w:rPr>
                <w:rFonts w:asciiTheme="minorHAnsi" w:hAnsiTheme="minorHAnsi" w:cstheme="minorHAnsi"/>
                <w:sz w:val="18"/>
                <w:szCs w:val="18"/>
              </w:rPr>
            </w:pPr>
            <w:r w:rsidRPr="00B54400">
              <w:rPr>
                <w:rFonts w:asciiTheme="minorHAnsi" w:hAnsiTheme="minorHAnsi" w:cstheme="minorHAnsi"/>
                <w:sz w:val="18"/>
                <w:szCs w:val="18"/>
              </w:rPr>
              <w:t>7</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5</w:t>
            </w:r>
            <w:r w:rsidR="00AF58E7"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7906924F" w14:textId="63D0B726"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0C27CBC6" w14:textId="2459D50E"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3</w:t>
            </w:r>
            <w:r w:rsidR="007F24D7"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7F24D7"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13422" w14:textId="47EAA71C" w:rsidR="00AF58E7"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11</w:t>
            </w:r>
          </w:p>
        </w:tc>
      </w:tr>
      <w:tr w:rsidR="00AF58E7" w:rsidRPr="004870C7" w14:paraId="6F32B7B2" w14:textId="77777777" w:rsidTr="00BD4791">
        <w:trPr>
          <w:cantSplit/>
        </w:trPr>
        <w:tc>
          <w:tcPr>
            <w:tcW w:w="1936" w:type="dxa"/>
            <w:vMerge/>
            <w:tcBorders>
              <w:left w:val="double" w:sz="4" w:space="0" w:color="auto"/>
            </w:tcBorders>
            <w:shd w:val="clear" w:color="auto" w:fill="auto"/>
            <w:noWrap/>
            <w:vAlign w:val="center"/>
          </w:tcPr>
          <w:p w14:paraId="2C33F04E"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5F96B5AD"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33C4A9C8"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1AB221C5"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3A50" w14:textId="79BF7661"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B7EE4C" w14:textId="47A7CD8F"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Contractual Services - 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DAE48" w14:textId="6A8BE620"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BD60" w14:textId="3996685B"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20</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CEB5" w14:textId="14084201"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AF6DB" w14:textId="1BD8D4D1"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186D0820" w14:textId="68690F18"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29DD81ED" w14:textId="3CE4F3EA"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20</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E33D2" w14:textId="4386772B" w:rsidR="00AF58E7"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12</w:t>
            </w:r>
          </w:p>
        </w:tc>
      </w:tr>
      <w:tr w:rsidR="00AF58E7" w:rsidRPr="004870C7" w14:paraId="083868F1" w14:textId="77777777" w:rsidTr="00BD4791">
        <w:trPr>
          <w:cantSplit/>
        </w:trPr>
        <w:tc>
          <w:tcPr>
            <w:tcW w:w="1936" w:type="dxa"/>
            <w:vMerge/>
            <w:tcBorders>
              <w:left w:val="double" w:sz="4" w:space="0" w:color="auto"/>
            </w:tcBorders>
            <w:shd w:val="clear" w:color="auto" w:fill="auto"/>
            <w:noWrap/>
            <w:vAlign w:val="center"/>
          </w:tcPr>
          <w:p w14:paraId="1048A4DC"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4DE9411F"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08741AC1"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69332571"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05D41" w14:textId="32DF2A53"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767475" w14:textId="723F4880"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E9148" w14:textId="26BD2149"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500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85CC3" w14:textId="2B8875B5"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B6402" w14:textId="2E5C8D37"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858EC" w14:textId="68CC59B6"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500</w:t>
            </w:r>
          </w:p>
        </w:tc>
        <w:tc>
          <w:tcPr>
            <w:tcW w:w="885" w:type="dxa"/>
            <w:tcBorders>
              <w:top w:val="single" w:sz="4" w:space="0" w:color="auto"/>
              <w:left w:val="single" w:sz="4" w:space="0" w:color="auto"/>
              <w:bottom w:val="single" w:sz="4" w:space="0" w:color="auto"/>
              <w:right w:val="single" w:sz="4" w:space="0" w:color="auto"/>
            </w:tcBorders>
            <w:vAlign w:val="center"/>
          </w:tcPr>
          <w:p w14:paraId="6B48386A" w14:textId="029A7736"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4CA92A73" w14:textId="3DF0D2B1"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2</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E6601" w14:textId="0FC70828" w:rsidR="00AF58E7" w:rsidRPr="00B54400" w:rsidRDefault="00C9580A" w:rsidP="00E54168">
            <w:pPr>
              <w:jc w:val="center"/>
              <w:rPr>
                <w:rFonts w:asciiTheme="minorHAnsi" w:hAnsiTheme="minorHAnsi" w:cstheme="minorHAnsi"/>
                <w:sz w:val="18"/>
                <w:szCs w:val="18"/>
              </w:rPr>
            </w:pPr>
            <w:r w:rsidRPr="00B54400">
              <w:rPr>
                <w:rFonts w:asciiTheme="minorHAnsi" w:hAnsiTheme="minorHAnsi" w:cstheme="minorHAnsi"/>
                <w:sz w:val="18"/>
                <w:szCs w:val="18"/>
              </w:rPr>
              <w:t>3</w:t>
            </w:r>
          </w:p>
        </w:tc>
      </w:tr>
      <w:tr w:rsidR="00AF58E7" w:rsidRPr="004870C7" w14:paraId="632D1FBB" w14:textId="77777777" w:rsidTr="00BD4791">
        <w:trPr>
          <w:cantSplit/>
        </w:trPr>
        <w:tc>
          <w:tcPr>
            <w:tcW w:w="1936" w:type="dxa"/>
            <w:vMerge/>
            <w:tcBorders>
              <w:left w:val="double" w:sz="4" w:space="0" w:color="auto"/>
            </w:tcBorders>
            <w:shd w:val="clear" w:color="auto" w:fill="auto"/>
            <w:noWrap/>
            <w:vAlign w:val="center"/>
          </w:tcPr>
          <w:p w14:paraId="24BBB6BE"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505E6732"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50A9D0A4"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1DB5F780"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4ADC2" w14:textId="74B7818F"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72400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EAD786" w14:textId="478E36B6"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Communication &amp; Audio-visual Eqp.</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B06AB" w14:textId="09A2DEAC"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C9E6" w14:textId="2151F63C"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D7F75" w14:textId="256FB561"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6B91" w14:textId="609D0000"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1B6A53" w:rsidRPr="00B54400">
              <w:rPr>
                <w:rFonts w:asciiTheme="minorHAnsi" w:hAnsiTheme="minorHAnsi" w:cstheme="minorHAnsi"/>
                <w:sz w:val="18"/>
                <w:szCs w:val="18"/>
              </w:rPr>
              <w:t>0</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21BE7F22" w14:textId="30369C88"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241FEC95" w14:textId="5DD5A997"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001B6A53" w:rsidRPr="00B54400">
              <w:rPr>
                <w:rFonts w:asciiTheme="minorHAnsi" w:hAnsiTheme="minorHAnsi" w:cstheme="minorHAnsi"/>
                <w:sz w:val="18"/>
                <w:szCs w:val="18"/>
              </w:rPr>
              <w:t>0</w:t>
            </w:r>
            <w:r w:rsidRPr="00B54400">
              <w:rPr>
                <w:rFonts w:asciiTheme="minorHAnsi" w:hAnsiTheme="minorHAnsi" w:cstheme="minorHAnsi"/>
                <w:sz w:val="18"/>
                <w:szCs w:val="18"/>
              </w:rPr>
              <w:t>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D090" w14:textId="4A1A85E7" w:rsidR="00AF58E7" w:rsidRPr="00B54400" w:rsidRDefault="00EA3471" w:rsidP="00E54168">
            <w:pPr>
              <w:jc w:val="center"/>
              <w:rPr>
                <w:rFonts w:asciiTheme="minorHAnsi" w:hAnsiTheme="minorHAnsi" w:cstheme="minorHAnsi"/>
                <w:sz w:val="18"/>
                <w:szCs w:val="18"/>
              </w:rPr>
            </w:pPr>
            <w:r w:rsidRPr="00B54400">
              <w:rPr>
                <w:rFonts w:asciiTheme="minorHAnsi" w:hAnsiTheme="minorHAnsi" w:cstheme="minorHAnsi"/>
                <w:sz w:val="18"/>
                <w:szCs w:val="18"/>
              </w:rPr>
              <w:t>4</w:t>
            </w:r>
          </w:p>
        </w:tc>
      </w:tr>
      <w:tr w:rsidR="00AF58E7" w:rsidRPr="004870C7" w14:paraId="186F38EA" w14:textId="77777777" w:rsidTr="00BD4791">
        <w:trPr>
          <w:cantSplit/>
        </w:trPr>
        <w:tc>
          <w:tcPr>
            <w:tcW w:w="1936" w:type="dxa"/>
            <w:vMerge/>
            <w:tcBorders>
              <w:left w:val="double" w:sz="4" w:space="0" w:color="auto"/>
            </w:tcBorders>
            <w:shd w:val="clear" w:color="auto" w:fill="auto"/>
            <w:noWrap/>
            <w:vAlign w:val="center"/>
          </w:tcPr>
          <w:p w14:paraId="63716528"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1042A0FA"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67264A72"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4302D706"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D253" w14:textId="38E3E1E3"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74200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34AF7E" w14:textId="741B8D72"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Audio-visual &amp; printing production costs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D397B" w14:textId="26448C29"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3132D" w14:textId="6A781E1C"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389F9" w14:textId="43D730CE"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1137D" w14:textId="389C4623" w:rsidR="00AF58E7" w:rsidRPr="00B54400" w:rsidRDefault="00AF58E7" w:rsidP="00E54168">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1B6A53"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54F569F7" w14:textId="0E4EC0A7"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65EF147A" w14:textId="7C87565C"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001B6A53"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16DCE" w14:textId="18969706" w:rsidR="00AF58E7"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13</w:t>
            </w:r>
          </w:p>
        </w:tc>
      </w:tr>
      <w:tr w:rsidR="00AF58E7" w:rsidRPr="004870C7" w14:paraId="42EDE65D" w14:textId="77777777" w:rsidTr="00BD4791">
        <w:trPr>
          <w:cantSplit/>
        </w:trPr>
        <w:tc>
          <w:tcPr>
            <w:tcW w:w="1936" w:type="dxa"/>
            <w:vMerge/>
            <w:tcBorders>
              <w:left w:val="double" w:sz="4" w:space="0" w:color="auto"/>
            </w:tcBorders>
            <w:shd w:val="clear" w:color="auto" w:fill="auto"/>
            <w:noWrap/>
            <w:vAlign w:val="center"/>
          </w:tcPr>
          <w:p w14:paraId="78A4E74A"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6949F725"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559B2A9F"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3CBEE9FB"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2252" w14:textId="087FCBCC" w:rsidR="00AF58E7" w:rsidRPr="004870C7" w:rsidRDefault="00AF58E7" w:rsidP="00E54168">
            <w:pPr>
              <w:jc w:val="center"/>
              <w:rPr>
                <w:rFonts w:asciiTheme="minorHAnsi" w:hAnsiTheme="minorHAnsi" w:cstheme="minorHAnsi"/>
                <w:sz w:val="18"/>
                <w:szCs w:val="18"/>
              </w:rPr>
            </w:pPr>
            <w:r w:rsidRPr="004870C7">
              <w:rPr>
                <w:rFonts w:asciiTheme="minorHAnsi" w:hAnsiTheme="minorHAnsi" w:cstheme="minorHAnsi"/>
                <w:sz w:val="18"/>
                <w:szCs w:val="18"/>
              </w:rPr>
              <w:t>72500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E858FC" w14:textId="361BB46E"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Supplies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ABA66" w14:textId="0A14F96D" w:rsidR="00AF58E7" w:rsidRPr="00B54400" w:rsidRDefault="00052984"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r w:rsidR="00AF58E7" w:rsidRPr="00B54400">
              <w:rPr>
                <w:rFonts w:asciiTheme="minorHAnsi" w:hAnsiTheme="minorHAnsi" w:cstheme="minorHAnsi"/>
                <w:sz w:val="18"/>
                <w:szCs w:val="18"/>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DFC1" w14:textId="4E57BAB6" w:rsidR="00AF58E7" w:rsidRPr="00B54400" w:rsidRDefault="00052984"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r w:rsidR="00AF58E7"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BCF7" w14:textId="1D3A5708" w:rsidR="00AF58E7" w:rsidRPr="00B54400" w:rsidRDefault="00052984"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r w:rsidR="00AF58E7"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1F02" w14:textId="2675660E" w:rsidR="00AF58E7" w:rsidRPr="00B54400" w:rsidRDefault="00052984" w:rsidP="00E54168">
            <w:pPr>
              <w:jc w:val="center"/>
              <w:rPr>
                <w:rFonts w:asciiTheme="minorHAnsi" w:hAnsiTheme="minorHAnsi" w:cstheme="minorHAnsi"/>
                <w:sz w:val="18"/>
                <w:szCs w:val="18"/>
              </w:rPr>
            </w:pPr>
            <w:r w:rsidRPr="00B54400">
              <w:rPr>
                <w:rFonts w:asciiTheme="minorHAnsi" w:hAnsiTheme="minorHAnsi" w:cstheme="minorHAnsi"/>
                <w:sz w:val="18"/>
                <w:szCs w:val="18"/>
              </w:rPr>
              <w:t>1,0</w:t>
            </w:r>
            <w:r w:rsidR="00AF58E7"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vAlign w:val="center"/>
          </w:tcPr>
          <w:p w14:paraId="1DBD49F3" w14:textId="22B1B18E" w:rsidR="00AF58E7" w:rsidRPr="00B54400" w:rsidRDefault="00AF58E7" w:rsidP="004B41CC">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single" w:sz="4" w:space="0" w:color="auto"/>
              <w:left w:val="single" w:sz="4" w:space="0" w:color="auto"/>
              <w:bottom w:val="single" w:sz="4" w:space="0" w:color="auto"/>
              <w:right w:val="single" w:sz="4" w:space="0" w:color="auto"/>
            </w:tcBorders>
            <w:vAlign w:val="center"/>
          </w:tcPr>
          <w:p w14:paraId="01CAA7ED" w14:textId="200835A4" w:rsidR="00AF58E7" w:rsidRPr="00B54400" w:rsidRDefault="00052984" w:rsidP="004B41CC">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00AF58E7"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8EEDC" w14:textId="768FBE57" w:rsidR="00AF58E7" w:rsidRPr="00B54400" w:rsidRDefault="009165B6" w:rsidP="00E54168">
            <w:pPr>
              <w:jc w:val="center"/>
              <w:rPr>
                <w:rFonts w:asciiTheme="minorHAnsi" w:hAnsiTheme="minorHAnsi" w:cstheme="minorHAnsi"/>
                <w:sz w:val="18"/>
                <w:szCs w:val="18"/>
              </w:rPr>
            </w:pPr>
            <w:r w:rsidRPr="00B54400">
              <w:rPr>
                <w:rFonts w:asciiTheme="minorHAnsi" w:hAnsiTheme="minorHAnsi" w:cstheme="minorHAnsi"/>
                <w:sz w:val="18"/>
                <w:szCs w:val="18"/>
              </w:rPr>
              <w:t>5</w:t>
            </w:r>
          </w:p>
        </w:tc>
      </w:tr>
      <w:tr w:rsidR="00AF58E7" w:rsidRPr="004870C7" w14:paraId="08C9EEAC" w14:textId="77777777" w:rsidTr="00BD4791">
        <w:trPr>
          <w:cantSplit/>
        </w:trPr>
        <w:tc>
          <w:tcPr>
            <w:tcW w:w="1936" w:type="dxa"/>
            <w:vMerge/>
            <w:tcBorders>
              <w:left w:val="double" w:sz="4" w:space="0" w:color="auto"/>
            </w:tcBorders>
            <w:shd w:val="clear" w:color="auto" w:fill="auto"/>
            <w:noWrap/>
            <w:vAlign w:val="center"/>
          </w:tcPr>
          <w:p w14:paraId="458A22BC" w14:textId="77777777" w:rsidR="00AF58E7" w:rsidRPr="004870C7" w:rsidRDefault="00AF58E7" w:rsidP="00AF58E7">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5F635FAF" w14:textId="77777777" w:rsidR="00AF58E7" w:rsidRPr="004870C7" w:rsidRDefault="00AF58E7" w:rsidP="00AF58E7">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025AB12B" w14:textId="77777777" w:rsidR="00AF58E7" w:rsidRPr="004870C7" w:rsidRDefault="00AF58E7" w:rsidP="00AF58E7">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6C4B6402" w14:textId="77777777" w:rsidR="00AF58E7" w:rsidRPr="004870C7" w:rsidRDefault="00AF58E7" w:rsidP="00AF58E7">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9312" w14:textId="642C71F5" w:rsidR="00AF58E7" w:rsidRPr="00052984" w:rsidRDefault="00AF58E7" w:rsidP="00AF58E7">
            <w:pPr>
              <w:jc w:val="center"/>
              <w:rPr>
                <w:rFonts w:asciiTheme="minorHAnsi" w:hAnsiTheme="minorHAnsi" w:cstheme="minorHAnsi"/>
                <w:sz w:val="18"/>
                <w:szCs w:val="18"/>
                <w:highlight w:val="yellow"/>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3EEB23" w14:textId="1E4D48B8" w:rsidR="00AF58E7" w:rsidRPr="00052984" w:rsidRDefault="00AF58E7" w:rsidP="00AF58E7">
            <w:pPr>
              <w:rPr>
                <w:rFonts w:asciiTheme="minorHAnsi" w:hAnsiTheme="minorHAnsi" w:cstheme="minorHAnsi"/>
                <w:sz w:val="18"/>
                <w:szCs w:val="18"/>
                <w:highlight w:val="yellow"/>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F7023" w14:textId="15EB7B96" w:rsidR="00AF58E7" w:rsidRPr="00B54400" w:rsidRDefault="00AF58E7" w:rsidP="00AF58E7">
            <w:pPr>
              <w:jc w:val="center"/>
              <w:rPr>
                <w:rFonts w:asciiTheme="minorHAnsi" w:hAnsiTheme="minorHAnsi" w:cstheme="minorHAnsi"/>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C10F" w14:textId="05F0DA93" w:rsidR="00AF58E7" w:rsidRPr="00B54400" w:rsidRDefault="00AF58E7" w:rsidP="00AF58E7">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4E31" w14:textId="03FDEBE8" w:rsidR="00AF58E7" w:rsidRPr="00B54400" w:rsidRDefault="00AF58E7" w:rsidP="00AF58E7">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7D4C" w14:textId="3F4FE717" w:rsidR="00AF58E7" w:rsidRPr="00B54400" w:rsidRDefault="00AF58E7" w:rsidP="00AF58E7">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14:paraId="0D5BC21A" w14:textId="776145F4" w:rsidR="00AF58E7" w:rsidRPr="00B54400" w:rsidRDefault="00AF58E7" w:rsidP="00AF58E7">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14:paraId="14320BBB" w14:textId="7E24F764" w:rsidR="00AF58E7" w:rsidRPr="00B54400" w:rsidRDefault="00AF58E7" w:rsidP="00AF58E7">
            <w:pPr>
              <w:jc w:val="center"/>
              <w:rPr>
                <w:rFonts w:asciiTheme="minorHAnsi" w:hAnsiTheme="minorHAnsi" w:cstheme="minorHAnsi"/>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8C5D2" w14:textId="6B33A219" w:rsidR="00AF58E7" w:rsidRPr="00B54400" w:rsidRDefault="00AF58E7" w:rsidP="00AF58E7">
            <w:pPr>
              <w:jc w:val="center"/>
              <w:rPr>
                <w:rFonts w:asciiTheme="minorHAnsi" w:hAnsiTheme="minorHAnsi" w:cstheme="minorHAnsi"/>
                <w:sz w:val="18"/>
                <w:szCs w:val="18"/>
              </w:rPr>
            </w:pPr>
          </w:p>
        </w:tc>
      </w:tr>
      <w:tr w:rsidR="00AF58E7" w:rsidRPr="004870C7" w14:paraId="46F4D1EE" w14:textId="77777777" w:rsidTr="00BD4791">
        <w:trPr>
          <w:cantSplit/>
        </w:trPr>
        <w:tc>
          <w:tcPr>
            <w:tcW w:w="1936" w:type="dxa"/>
            <w:vMerge/>
            <w:tcBorders>
              <w:left w:val="double" w:sz="4" w:space="0" w:color="auto"/>
            </w:tcBorders>
            <w:shd w:val="clear" w:color="auto" w:fill="auto"/>
            <w:noWrap/>
            <w:vAlign w:val="center"/>
          </w:tcPr>
          <w:p w14:paraId="03833826"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5C0DCA17"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80ECEB7"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0B1D0DB6"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4A3C0AD" w14:textId="77777777" w:rsidR="00AF58E7" w:rsidRPr="004870C7" w:rsidRDefault="00AF58E7" w:rsidP="00E54168">
            <w:pPr>
              <w:jc w:val="center"/>
              <w:rPr>
                <w:rFonts w:asciiTheme="minorHAnsi" w:hAnsiTheme="minorHAnsi" w:cstheme="minorHAnsi"/>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4923AA94" w14:textId="75B7F57B" w:rsidR="00AF58E7" w:rsidRPr="004870C7" w:rsidRDefault="00AF58E7" w:rsidP="00E54168">
            <w:pPr>
              <w:rPr>
                <w:rFonts w:asciiTheme="minorHAnsi" w:hAnsiTheme="minorHAnsi" w:cstheme="minorHAnsi"/>
                <w:sz w:val="18"/>
                <w:szCs w:val="18"/>
              </w:rPr>
            </w:pPr>
            <w:r w:rsidRPr="004870C7">
              <w:rPr>
                <w:rFonts w:asciiTheme="minorHAnsi" w:hAnsiTheme="minorHAnsi" w:cstheme="minorHAnsi"/>
                <w:sz w:val="18"/>
                <w:szCs w:val="18"/>
              </w:rPr>
              <w:t>sub-total GEF</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853C1CF" w14:textId="7B49CA31"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500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03F1E6E" w14:textId="6FD2754D"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37</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07F4218" w14:textId="0F606BCA"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D176E48" w14:textId="730D506B" w:rsidR="00AF58E7" w:rsidRPr="00B54400" w:rsidRDefault="00AF58E7"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500</w:t>
            </w:r>
          </w:p>
        </w:tc>
        <w:tc>
          <w:tcPr>
            <w:tcW w:w="885" w:type="dxa"/>
            <w:tcBorders>
              <w:top w:val="single" w:sz="4" w:space="0" w:color="auto"/>
              <w:left w:val="single" w:sz="4" w:space="0" w:color="auto"/>
              <w:bottom w:val="double" w:sz="4" w:space="0" w:color="auto"/>
              <w:right w:val="single" w:sz="4" w:space="0" w:color="auto"/>
            </w:tcBorders>
            <w:vAlign w:val="center"/>
          </w:tcPr>
          <w:p w14:paraId="46EE98A5" w14:textId="51E103E8" w:rsidR="00AF58E7" w:rsidRPr="00B54400" w:rsidRDefault="00AF58E7"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0</w:t>
            </w:r>
          </w:p>
        </w:tc>
        <w:tc>
          <w:tcPr>
            <w:tcW w:w="885" w:type="dxa"/>
            <w:tcBorders>
              <w:top w:val="single" w:sz="4" w:space="0" w:color="auto"/>
              <w:left w:val="single" w:sz="4" w:space="0" w:color="auto"/>
              <w:bottom w:val="double" w:sz="4" w:space="0" w:color="auto"/>
              <w:right w:val="single" w:sz="4" w:space="0" w:color="auto"/>
            </w:tcBorders>
            <w:vAlign w:val="center"/>
          </w:tcPr>
          <w:p w14:paraId="4A62DFA3" w14:textId="19093E25" w:rsidR="00AF58E7" w:rsidRPr="00B54400" w:rsidRDefault="00AF58E7"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90</w:t>
            </w:r>
            <w:r w:rsidR="005B772B" w:rsidRPr="00B54400">
              <w:rPr>
                <w:rFonts w:asciiTheme="minorHAnsi" w:hAnsiTheme="minorHAnsi" w:cstheme="minorHAnsi"/>
                <w:b/>
                <w:bCs/>
                <w:sz w:val="18"/>
                <w:szCs w:val="18"/>
              </w:rPr>
              <w:t>,</w:t>
            </w:r>
            <w:r w:rsidRPr="00B54400">
              <w:rPr>
                <w:rFonts w:asciiTheme="minorHAnsi" w:hAnsiTheme="minorHAnsi" w:cstheme="minorHAnsi"/>
                <w:b/>
                <w:bCs/>
                <w:sz w:val="18"/>
                <w:szCs w:val="18"/>
              </w:rPr>
              <w:t>000</w:t>
            </w:r>
          </w:p>
        </w:tc>
        <w:tc>
          <w:tcPr>
            <w:tcW w:w="76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E2A470E" w14:textId="77777777" w:rsidR="00AF58E7" w:rsidRPr="00B54400" w:rsidRDefault="00AF58E7" w:rsidP="00E54168">
            <w:pPr>
              <w:jc w:val="center"/>
              <w:rPr>
                <w:rFonts w:asciiTheme="minorHAnsi" w:hAnsiTheme="minorHAnsi" w:cstheme="minorHAnsi"/>
                <w:sz w:val="18"/>
                <w:szCs w:val="18"/>
              </w:rPr>
            </w:pPr>
          </w:p>
        </w:tc>
      </w:tr>
      <w:tr w:rsidR="00AF58E7" w:rsidRPr="004870C7" w14:paraId="3AECFB0C" w14:textId="77777777" w:rsidTr="00BD4791">
        <w:trPr>
          <w:cantSplit/>
        </w:trPr>
        <w:tc>
          <w:tcPr>
            <w:tcW w:w="1936" w:type="dxa"/>
            <w:vMerge/>
            <w:tcBorders>
              <w:left w:val="double" w:sz="4" w:space="0" w:color="auto"/>
            </w:tcBorders>
            <w:shd w:val="clear" w:color="auto" w:fill="auto"/>
            <w:noWrap/>
            <w:vAlign w:val="center"/>
          </w:tcPr>
          <w:p w14:paraId="35954693" w14:textId="77777777" w:rsidR="00AF58E7" w:rsidRPr="004870C7" w:rsidRDefault="00AF58E7" w:rsidP="00E54168">
            <w:pPr>
              <w:jc w:val="center"/>
              <w:rPr>
                <w:rFonts w:asciiTheme="minorHAnsi" w:hAnsiTheme="minorHAnsi" w:cstheme="minorHAnsi"/>
                <w:b/>
                <w:bCs/>
                <w:sz w:val="18"/>
                <w:szCs w:val="18"/>
              </w:rPr>
            </w:pPr>
          </w:p>
        </w:tc>
        <w:tc>
          <w:tcPr>
            <w:tcW w:w="1440" w:type="dxa"/>
            <w:vMerge/>
            <w:tcBorders>
              <w:left w:val="single" w:sz="4" w:space="0" w:color="auto"/>
              <w:right w:val="single" w:sz="4" w:space="0" w:color="auto"/>
            </w:tcBorders>
            <w:shd w:val="clear" w:color="auto" w:fill="auto"/>
            <w:vAlign w:val="center"/>
          </w:tcPr>
          <w:p w14:paraId="3AC15769" w14:textId="77777777" w:rsidR="00AF58E7" w:rsidRPr="004870C7" w:rsidRDefault="00AF58E7" w:rsidP="00E54168">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2643211A" w14:textId="77777777" w:rsidR="00AF58E7" w:rsidRPr="004870C7" w:rsidRDefault="00AF58E7" w:rsidP="00E54168">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7859A0A2" w14:textId="77777777" w:rsidR="00AF58E7" w:rsidRPr="004870C7" w:rsidRDefault="00AF58E7" w:rsidP="00E54168">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1745DEA" w14:textId="0F6715C6" w:rsidR="00AF58E7" w:rsidRPr="004870C7" w:rsidRDefault="00AF58E7" w:rsidP="00E54168">
            <w:pPr>
              <w:jc w:val="center"/>
              <w:rPr>
                <w:rFonts w:asciiTheme="minorHAnsi" w:hAnsiTheme="minorHAnsi" w:cstheme="minorHAnsi"/>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0843A59D" w14:textId="1209E511" w:rsidR="00AF58E7" w:rsidRPr="004870C7" w:rsidRDefault="00355A32" w:rsidP="00E54168">
            <w:pPr>
              <w:rPr>
                <w:rFonts w:asciiTheme="minorHAnsi" w:hAnsiTheme="minorHAnsi" w:cstheme="minorHAnsi"/>
                <w:sz w:val="18"/>
                <w:szCs w:val="18"/>
              </w:rPr>
            </w:pPr>
            <w:r w:rsidRPr="004870C7">
              <w:rPr>
                <w:rFonts w:asciiTheme="minorHAnsi" w:hAnsiTheme="minorHAnsi" w:cstheme="minorHAnsi"/>
                <w:sz w:val="18"/>
                <w:szCs w:val="18"/>
              </w:rPr>
              <w:t>Total Outcome</w:t>
            </w:r>
            <w:r w:rsidR="005836E5" w:rsidRPr="004870C7">
              <w:rPr>
                <w:rFonts w:asciiTheme="minorHAnsi" w:hAnsiTheme="minorHAnsi" w:cstheme="minorHAnsi"/>
                <w:sz w:val="18"/>
                <w:szCs w:val="18"/>
              </w:rPr>
              <w:t xml:space="preserve"> 4</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6353614" w14:textId="0BE2E676" w:rsidR="00AF58E7" w:rsidRPr="00B54400" w:rsidRDefault="00355A32"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17,500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2686006" w14:textId="5A992DF5" w:rsidR="00AF58E7" w:rsidRPr="00B54400" w:rsidRDefault="00355A32"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37,500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938C050" w14:textId="1BD11A8C" w:rsidR="00AF58E7" w:rsidRPr="00B54400" w:rsidRDefault="00355A32"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13699BF" w14:textId="1561471E" w:rsidR="00AF58E7" w:rsidRPr="00B54400" w:rsidRDefault="00355A32" w:rsidP="00E54168">
            <w:pPr>
              <w:jc w:val="center"/>
              <w:rPr>
                <w:rFonts w:asciiTheme="minorHAnsi" w:hAnsiTheme="minorHAnsi" w:cstheme="minorHAnsi"/>
                <w:b/>
                <w:bCs/>
                <w:sz w:val="18"/>
                <w:szCs w:val="18"/>
              </w:rPr>
            </w:pPr>
            <w:r w:rsidRPr="00B54400">
              <w:rPr>
                <w:rFonts w:asciiTheme="minorHAnsi" w:hAnsiTheme="minorHAnsi" w:cstheme="minorHAnsi"/>
                <w:b/>
                <w:bCs/>
                <w:sz w:val="18"/>
                <w:szCs w:val="18"/>
              </w:rPr>
              <w:t>17,500</w:t>
            </w:r>
          </w:p>
        </w:tc>
        <w:tc>
          <w:tcPr>
            <w:tcW w:w="885" w:type="dxa"/>
            <w:tcBorders>
              <w:top w:val="single" w:sz="4" w:space="0" w:color="auto"/>
              <w:left w:val="single" w:sz="4" w:space="0" w:color="auto"/>
              <w:bottom w:val="double" w:sz="4" w:space="0" w:color="auto"/>
              <w:right w:val="single" w:sz="4" w:space="0" w:color="auto"/>
            </w:tcBorders>
            <w:vAlign w:val="center"/>
          </w:tcPr>
          <w:p w14:paraId="56B528AD" w14:textId="4FF20E75" w:rsidR="00AF58E7" w:rsidRPr="00B54400" w:rsidRDefault="00355A32"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0</w:t>
            </w:r>
          </w:p>
        </w:tc>
        <w:tc>
          <w:tcPr>
            <w:tcW w:w="885" w:type="dxa"/>
            <w:tcBorders>
              <w:top w:val="single" w:sz="4" w:space="0" w:color="auto"/>
              <w:left w:val="single" w:sz="4" w:space="0" w:color="auto"/>
              <w:bottom w:val="double" w:sz="4" w:space="0" w:color="auto"/>
              <w:right w:val="single" w:sz="4" w:space="0" w:color="auto"/>
            </w:tcBorders>
            <w:vAlign w:val="center"/>
          </w:tcPr>
          <w:p w14:paraId="7EE64B16" w14:textId="73693B74" w:rsidR="00AF58E7" w:rsidRPr="00B54400" w:rsidRDefault="005836E5" w:rsidP="004B41CC">
            <w:pPr>
              <w:jc w:val="center"/>
              <w:rPr>
                <w:rFonts w:asciiTheme="minorHAnsi" w:hAnsiTheme="minorHAnsi" w:cstheme="minorHAnsi"/>
                <w:b/>
                <w:bCs/>
                <w:sz w:val="18"/>
                <w:szCs w:val="18"/>
              </w:rPr>
            </w:pPr>
            <w:r w:rsidRPr="00B54400">
              <w:rPr>
                <w:rFonts w:asciiTheme="minorHAnsi" w:hAnsiTheme="minorHAnsi" w:cstheme="minorHAnsi"/>
                <w:b/>
                <w:bCs/>
                <w:sz w:val="18"/>
                <w:szCs w:val="18"/>
              </w:rPr>
              <w:t>90,000</w:t>
            </w:r>
          </w:p>
        </w:tc>
        <w:tc>
          <w:tcPr>
            <w:tcW w:w="76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3DB8DD1" w14:textId="77777777" w:rsidR="00AF58E7" w:rsidRPr="00B54400" w:rsidRDefault="00AF58E7" w:rsidP="00E54168">
            <w:pPr>
              <w:jc w:val="center"/>
              <w:rPr>
                <w:rFonts w:asciiTheme="minorHAnsi" w:hAnsiTheme="minorHAnsi" w:cstheme="minorHAnsi"/>
                <w:sz w:val="18"/>
                <w:szCs w:val="18"/>
              </w:rPr>
            </w:pPr>
          </w:p>
        </w:tc>
      </w:tr>
      <w:tr w:rsidR="00FE5D1D" w:rsidRPr="004870C7" w14:paraId="0C317510" w14:textId="77777777" w:rsidTr="00BD4791">
        <w:trPr>
          <w:cantSplit/>
        </w:trPr>
        <w:tc>
          <w:tcPr>
            <w:tcW w:w="1936" w:type="dxa"/>
            <w:vMerge w:val="restart"/>
            <w:tcBorders>
              <w:top w:val="double" w:sz="4" w:space="0" w:color="auto"/>
              <w:left w:val="double" w:sz="4" w:space="0" w:color="auto"/>
            </w:tcBorders>
            <w:shd w:val="clear" w:color="auto" w:fill="auto"/>
            <w:noWrap/>
          </w:tcPr>
          <w:p w14:paraId="010B7301" w14:textId="77777777" w:rsidR="00FE5D1D" w:rsidRPr="004870C7" w:rsidRDefault="00FE5D1D" w:rsidP="00FE5D1D">
            <w:pPr>
              <w:jc w:val="left"/>
              <w:rPr>
                <w:rFonts w:asciiTheme="minorHAnsi" w:hAnsiTheme="minorHAnsi" w:cstheme="minorHAnsi"/>
                <w:b/>
                <w:bCs/>
                <w:sz w:val="18"/>
                <w:szCs w:val="18"/>
              </w:rPr>
            </w:pPr>
          </w:p>
          <w:p w14:paraId="67CA429B" w14:textId="77777777" w:rsidR="00FE5D1D" w:rsidRPr="004870C7" w:rsidRDefault="00FE5D1D" w:rsidP="00FE5D1D">
            <w:pPr>
              <w:jc w:val="left"/>
              <w:rPr>
                <w:rFonts w:asciiTheme="minorHAnsi" w:hAnsiTheme="minorHAnsi" w:cstheme="minorHAnsi"/>
                <w:b/>
                <w:bCs/>
                <w:sz w:val="18"/>
                <w:szCs w:val="18"/>
              </w:rPr>
            </w:pPr>
          </w:p>
          <w:p w14:paraId="65ED6D0D" w14:textId="77777777" w:rsidR="00FE5D1D" w:rsidRPr="004870C7" w:rsidRDefault="00FE5D1D" w:rsidP="00FE5D1D">
            <w:pPr>
              <w:jc w:val="left"/>
              <w:rPr>
                <w:rFonts w:asciiTheme="minorHAnsi" w:hAnsiTheme="minorHAnsi" w:cstheme="minorHAnsi"/>
                <w:b/>
                <w:bCs/>
                <w:sz w:val="18"/>
                <w:szCs w:val="18"/>
              </w:rPr>
            </w:pPr>
          </w:p>
          <w:p w14:paraId="493D211C" w14:textId="556A312D" w:rsidR="00FE5D1D" w:rsidRPr="004870C7" w:rsidRDefault="00FE5D1D" w:rsidP="00AD005E">
            <w:pPr>
              <w:jc w:val="center"/>
              <w:rPr>
                <w:rFonts w:asciiTheme="minorHAnsi" w:hAnsiTheme="minorHAnsi" w:cstheme="minorHAnsi"/>
                <w:b/>
                <w:bCs/>
                <w:sz w:val="18"/>
                <w:szCs w:val="18"/>
              </w:rPr>
            </w:pPr>
            <w:r w:rsidRPr="004870C7">
              <w:rPr>
                <w:rFonts w:asciiTheme="minorHAnsi" w:hAnsiTheme="minorHAnsi" w:cstheme="minorHAnsi"/>
                <w:b/>
                <w:bCs/>
                <w:sz w:val="18"/>
                <w:szCs w:val="18"/>
              </w:rPr>
              <w:t>COMPONENT 5:</w:t>
            </w:r>
          </w:p>
          <w:p w14:paraId="0A1EDDE2" w14:textId="679B0524" w:rsidR="00FE5D1D" w:rsidRPr="004870C7" w:rsidRDefault="00FE5D1D" w:rsidP="00BD4791">
            <w:pPr>
              <w:jc w:val="center"/>
              <w:rPr>
                <w:rFonts w:asciiTheme="minorHAnsi" w:hAnsiTheme="minorHAnsi" w:cstheme="minorHAnsi"/>
                <w:i/>
                <w:sz w:val="18"/>
                <w:szCs w:val="18"/>
              </w:rPr>
            </w:pPr>
            <w:r w:rsidRPr="004870C7">
              <w:rPr>
                <w:bCs/>
                <w:iCs/>
                <w:sz w:val="18"/>
                <w:szCs w:val="18"/>
              </w:rPr>
              <w:lastRenderedPageBreak/>
              <w:t xml:space="preserve">Compilation, publication and submission of the 4NC/1BTR report, Knowledge management, Monitoring and Evaluation </w:t>
            </w:r>
          </w:p>
        </w:tc>
        <w:tc>
          <w:tcPr>
            <w:tcW w:w="1440" w:type="dxa"/>
            <w:vMerge w:val="restart"/>
            <w:tcBorders>
              <w:top w:val="double" w:sz="4" w:space="0" w:color="auto"/>
              <w:left w:val="single" w:sz="4" w:space="0" w:color="auto"/>
              <w:right w:val="single" w:sz="4" w:space="0" w:color="auto"/>
            </w:tcBorders>
            <w:shd w:val="clear" w:color="auto" w:fill="auto"/>
            <w:vAlign w:val="center"/>
          </w:tcPr>
          <w:p w14:paraId="5D32D388" w14:textId="46A064F3" w:rsidR="00FE5D1D" w:rsidRPr="004870C7" w:rsidRDefault="00FE5D1D"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lastRenderedPageBreak/>
              <w:t>MESPU</w:t>
            </w:r>
          </w:p>
        </w:tc>
        <w:tc>
          <w:tcPr>
            <w:tcW w:w="915" w:type="dxa"/>
            <w:vMerge w:val="restart"/>
            <w:tcBorders>
              <w:top w:val="double" w:sz="4" w:space="0" w:color="auto"/>
              <w:left w:val="single" w:sz="4" w:space="0" w:color="auto"/>
              <w:right w:val="single" w:sz="4" w:space="0" w:color="auto"/>
            </w:tcBorders>
            <w:shd w:val="clear" w:color="auto" w:fill="auto"/>
            <w:vAlign w:val="center"/>
          </w:tcPr>
          <w:p w14:paraId="01E9FD99" w14:textId="77777777" w:rsidR="00FE5D1D" w:rsidRPr="004870C7" w:rsidRDefault="00FE5D1D" w:rsidP="00FE5D1D">
            <w:pPr>
              <w:rPr>
                <w:rFonts w:asciiTheme="minorHAnsi" w:hAnsiTheme="minorHAnsi" w:cstheme="minorHAnsi"/>
                <w:b/>
                <w:bCs/>
                <w:sz w:val="18"/>
                <w:szCs w:val="18"/>
              </w:rPr>
            </w:pPr>
            <w:r w:rsidRPr="004870C7">
              <w:rPr>
                <w:rFonts w:asciiTheme="minorHAnsi" w:hAnsiTheme="minorHAnsi" w:cstheme="minorHAnsi"/>
                <w:b/>
                <w:bCs/>
                <w:sz w:val="18"/>
                <w:szCs w:val="18"/>
              </w:rPr>
              <w:t xml:space="preserve">   62000</w:t>
            </w:r>
          </w:p>
          <w:p w14:paraId="154F2D6E" w14:textId="72E46D4C" w:rsidR="00FE5D1D" w:rsidRPr="004870C7" w:rsidRDefault="00FE5D1D" w:rsidP="00FE5D1D">
            <w:pPr>
              <w:jc w:val="center"/>
              <w:rPr>
                <w:rFonts w:asciiTheme="minorHAnsi" w:hAnsiTheme="minorHAnsi" w:cstheme="minorHAnsi"/>
                <w:b/>
                <w:bCs/>
                <w:sz w:val="18"/>
                <w:szCs w:val="18"/>
              </w:rPr>
            </w:pPr>
          </w:p>
        </w:tc>
        <w:tc>
          <w:tcPr>
            <w:tcW w:w="1065" w:type="dxa"/>
            <w:vMerge w:val="restart"/>
            <w:tcBorders>
              <w:top w:val="double" w:sz="4" w:space="0" w:color="auto"/>
              <w:left w:val="single" w:sz="4" w:space="0" w:color="auto"/>
              <w:right w:val="single" w:sz="4" w:space="0" w:color="auto"/>
            </w:tcBorders>
            <w:vAlign w:val="center"/>
          </w:tcPr>
          <w:p w14:paraId="595F831F" w14:textId="77777777" w:rsidR="00FE5D1D" w:rsidRPr="004870C7" w:rsidRDefault="00FE5D1D"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GEF</w:t>
            </w:r>
          </w:p>
          <w:p w14:paraId="6A61D4B2" w14:textId="7CEADE4F" w:rsidR="00FE5D1D" w:rsidRPr="004870C7" w:rsidRDefault="00FE5D1D"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Trustee</w:t>
            </w: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6298FE6" w14:textId="1F053049"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72100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14:paraId="43823F39" w14:textId="251A26BB"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sz w:val="18"/>
                <w:szCs w:val="18"/>
              </w:rPr>
              <w:t>Contractual services - Companies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6C05149" w14:textId="69A8EF31"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AFB46B8" w14:textId="74868351"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4D4DB95" w14:textId="38E91782"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4F8BBB2" w14:textId="65BB3E22"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8</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vAlign w:val="center"/>
          </w:tcPr>
          <w:p w14:paraId="254569F7" w14:textId="7B1D8CA6"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double" w:sz="4" w:space="0" w:color="auto"/>
              <w:left w:val="single" w:sz="4" w:space="0" w:color="auto"/>
              <w:bottom w:val="single" w:sz="4" w:space="0" w:color="auto"/>
              <w:right w:val="single" w:sz="4" w:space="0" w:color="auto"/>
            </w:tcBorders>
            <w:vAlign w:val="center"/>
          </w:tcPr>
          <w:p w14:paraId="72FEFB73" w14:textId="03EE4D5B"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12</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B0158FF" w14:textId="36DE9324" w:rsidR="00FE5D1D" w:rsidRPr="00B54400" w:rsidRDefault="00F175FB" w:rsidP="00FE5D1D">
            <w:pPr>
              <w:jc w:val="center"/>
              <w:rPr>
                <w:rFonts w:asciiTheme="minorHAnsi" w:hAnsiTheme="minorHAnsi" w:cstheme="minorHAnsi"/>
                <w:sz w:val="18"/>
                <w:szCs w:val="18"/>
              </w:rPr>
            </w:pPr>
            <w:r w:rsidRPr="00B54400">
              <w:rPr>
                <w:rFonts w:asciiTheme="minorHAnsi" w:hAnsiTheme="minorHAnsi" w:cstheme="minorHAnsi"/>
                <w:sz w:val="18"/>
                <w:szCs w:val="18"/>
              </w:rPr>
              <w:t>14</w:t>
            </w:r>
          </w:p>
        </w:tc>
      </w:tr>
      <w:tr w:rsidR="00FE5D1D" w:rsidRPr="004870C7" w14:paraId="7F0B9203" w14:textId="77777777" w:rsidTr="00956A5F">
        <w:trPr>
          <w:cantSplit/>
        </w:trPr>
        <w:tc>
          <w:tcPr>
            <w:tcW w:w="1936" w:type="dxa"/>
            <w:vMerge/>
            <w:tcBorders>
              <w:left w:val="double" w:sz="4" w:space="0" w:color="auto"/>
              <w:right w:val="single" w:sz="4" w:space="0" w:color="auto"/>
            </w:tcBorders>
            <w:shd w:val="clear" w:color="auto" w:fill="auto"/>
            <w:vAlign w:val="center"/>
          </w:tcPr>
          <w:p w14:paraId="18B50358"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734E1138" w14:textId="77777777" w:rsidR="00FE5D1D" w:rsidRPr="004870C7" w:rsidRDefault="00FE5D1D" w:rsidP="00FE5D1D">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14F791C6" w14:textId="77777777" w:rsidR="00FE5D1D" w:rsidRPr="004870C7" w:rsidRDefault="00FE5D1D" w:rsidP="00FE5D1D">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78A0194A"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2D36" w14:textId="475DA691"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75700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4CCE2" w14:textId="41212B57"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sz w:val="18"/>
                <w:szCs w:val="18"/>
              </w:rPr>
              <w:t>Training,</w:t>
            </w:r>
          </w:p>
          <w:p w14:paraId="158E37E0" w14:textId="265C2F0F"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sz w:val="18"/>
                <w:szCs w:val="18"/>
              </w:rPr>
              <w:t>Workshops and Conferences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25C41" w14:textId="2476F565" w:rsidR="00FE5D1D" w:rsidRPr="00B54400" w:rsidRDefault="003537BA" w:rsidP="00FE5D1D">
            <w:pPr>
              <w:jc w:val="center"/>
              <w:rPr>
                <w:rFonts w:asciiTheme="minorHAnsi" w:hAnsiTheme="minorHAnsi" w:cstheme="minorHAnsi"/>
                <w:sz w:val="18"/>
                <w:szCs w:val="18"/>
              </w:rPr>
            </w:pPr>
            <w:r w:rsidRPr="00B54400">
              <w:rPr>
                <w:rFonts w:asciiTheme="minorHAnsi" w:hAnsiTheme="minorHAnsi" w:cstheme="minorHAnsi"/>
                <w:sz w:val="18"/>
                <w:szCs w:val="18"/>
              </w:rPr>
              <w:t>3</w:t>
            </w:r>
            <w:r w:rsidR="005B772B" w:rsidRPr="00B54400">
              <w:rPr>
                <w:rFonts w:asciiTheme="minorHAnsi" w:hAnsiTheme="minorHAnsi" w:cstheme="minorHAnsi"/>
                <w:sz w:val="18"/>
                <w:szCs w:val="18"/>
              </w:rPr>
              <w:t>,</w:t>
            </w:r>
            <w:r w:rsidR="00FE5D1D"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9CEDA" w14:textId="54D597C8"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5</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1659A" w14:textId="4C953573"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3</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87B6" w14:textId="67A60723"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5</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E39FE85" w14:textId="56B9AD17" w:rsidR="00FE5D1D" w:rsidRPr="00B54400" w:rsidRDefault="003537BA" w:rsidP="00FE5D1D">
            <w:pPr>
              <w:jc w:val="center"/>
              <w:rPr>
                <w:rFonts w:asciiTheme="minorHAnsi" w:hAnsiTheme="minorHAnsi" w:cstheme="minorHAnsi"/>
                <w:sz w:val="18"/>
                <w:szCs w:val="18"/>
              </w:rPr>
            </w:pPr>
            <w:r w:rsidRPr="00B54400">
              <w:rPr>
                <w:rFonts w:asciiTheme="minorHAnsi" w:hAnsiTheme="minorHAnsi" w:cstheme="minorHAnsi"/>
                <w:sz w:val="18"/>
                <w:szCs w:val="18"/>
              </w:rPr>
              <w:t>4</w:t>
            </w:r>
            <w:r w:rsidR="005B772B" w:rsidRPr="00B54400">
              <w:rPr>
                <w:rFonts w:asciiTheme="minorHAnsi" w:hAnsiTheme="minorHAnsi" w:cstheme="minorHAnsi"/>
                <w:sz w:val="18"/>
                <w:szCs w:val="18"/>
              </w:rPr>
              <w:t>,</w:t>
            </w:r>
            <w:r w:rsidR="00FE5D1D"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1E6375E" w14:textId="399B532D" w:rsidR="00FE5D1D" w:rsidRPr="00B54400" w:rsidRDefault="0089402B" w:rsidP="00FE5D1D">
            <w:pPr>
              <w:jc w:val="center"/>
              <w:rPr>
                <w:rFonts w:asciiTheme="minorHAnsi" w:hAnsiTheme="minorHAnsi" w:cstheme="minorHAnsi"/>
                <w:sz w:val="18"/>
                <w:szCs w:val="18"/>
              </w:rPr>
            </w:pPr>
            <w:r w:rsidRPr="00B54400">
              <w:rPr>
                <w:rFonts w:asciiTheme="minorHAnsi" w:hAnsiTheme="minorHAnsi" w:cstheme="minorHAnsi"/>
                <w:sz w:val="18"/>
                <w:szCs w:val="18"/>
              </w:rPr>
              <w:t>20</w:t>
            </w:r>
            <w:r w:rsidR="005B772B" w:rsidRPr="00B54400">
              <w:rPr>
                <w:rFonts w:asciiTheme="minorHAnsi" w:hAnsiTheme="minorHAnsi" w:cstheme="minorHAnsi"/>
                <w:sz w:val="18"/>
                <w:szCs w:val="18"/>
              </w:rPr>
              <w:t>,</w:t>
            </w:r>
            <w:r w:rsidR="00FE5D1D"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DF26" w14:textId="13BFA1E0" w:rsidR="00FE5D1D" w:rsidRPr="00B54400" w:rsidRDefault="00F175FB" w:rsidP="00FE5D1D">
            <w:pPr>
              <w:jc w:val="center"/>
              <w:rPr>
                <w:rFonts w:asciiTheme="minorHAnsi" w:hAnsiTheme="minorHAnsi" w:cstheme="minorHAnsi"/>
                <w:sz w:val="18"/>
                <w:szCs w:val="18"/>
              </w:rPr>
            </w:pPr>
            <w:r w:rsidRPr="00B54400">
              <w:rPr>
                <w:rFonts w:asciiTheme="minorHAnsi" w:hAnsiTheme="minorHAnsi" w:cstheme="minorHAnsi"/>
                <w:sz w:val="18"/>
                <w:szCs w:val="18"/>
              </w:rPr>
              <w:t>15</w:t>
            </w:r>
          </w:p>
        </w:tc>
      </w:tr>
      <w:tr w:rsidR="00FE5D1D" w:rsidRPr="004870C7" w14:paraId="1B50FBF0" w14:textId="77777777" w:rsidTr="00956A5F">
        <w:trPr>
          <w:cantSplit/>
        </w:trPr>
        <w:tc>
          <w:tcPr>
            <w:tcW w:w="1936" w:type="dxa"/>
            <w:vMerge/>
            <w:tcBorders>
              <w:left w:val="double" w:sz="4" w:space="0" w:color="auto"/>
              <w:right w:val="single" w:sz="4" w:space="0" w:color="auto"/>
            </w:tcBorders>
            <w:shd w:val="clear" w:color="auto" w:fill="auto"/>
            <w:vAlign w:val="center"/>
          </w:tcPr>
          <w:p w14:paraId="537E5555"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309C8402" w14:textId="77777777" w:rsidR="00FE5D1D" w:rsidRPr="004870C7" w:rsidRDefault="00FE5D1D" w:rsidP="00FE5D1D">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7F810A4D" w14:textId="77777777" w:rsidR="00FE5D1D" w:rsidRPr="004870C7" w:rsidRDefault="00FE5D1D" w:rsidP="00FE5D1D">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14753A6A"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EB385" w14:textId="6AAEC839"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74200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9EC4E" w14:textId="4E442D10"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sz w:val="18"/>
                <w:szCs w:val="18"/>
              </w:rPr>
              <w:t>Audio-visual &amp; printing production costs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B30E6" w14:textId="4BFE9A01"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F175FB"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A2C0" w14:textId="64AE8ED6"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F175FB"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36643" w14:textId="0830951B"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F175FB"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6C8E5" w14:textId="6564EE67"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w:t>
            </w:r>
            <w:r w:rsidR="005B772B" w:rsidRPr="00B54400">
              <w:rPr>
                <w:rFonts w:asciiTheme="minorHAnsi" w:hAnsiTheme="minorHAnsi" w:cstheme="minorHAnsi"/>
                <w:sz w:val="18"/>
                <w:szCs w:val="18"/>
              </w:rPr>
              <w:t>,</w:t>
            </w:r>
            <w:r w:rsidR="00F175FB" w:rsidRPr="00B54400">
              <w:rPr>
                <w:rFonts w:asciiTheme="minorHAnsi" w:hAnsiTheme="minorHAnsi" w:cstheme="minorHAnsi"/>
                <w:sz w:val="18"/>
                <w:szCs w:val="18"/>
              </w:rPr>
              <w:t>5</w:t>
            </w:r>
            <w:r w:rsidRPr="00B54400">
              <w:rPr>
                <w:rFonts w:asciiTheme="minorHAnsi" w:hAnsiTheme="minorHAnsi" w:cstheme="minorHAnsi"/>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C65C7A5" w14:textId="47209F07"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2</w:t>
            </w:r>
            <w:r w:rsidR="005B772B"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7A8BF3C" w14:textId="5C55940C" w:rsidR="00FE5D1D" w:rsidRPr="00B54400" w:rsidRDefault="00F175FB" w:rsidP="00FE5D1D">
            <w:pPr>
              <w:jc w:val="center"/>
              <w:rPr>
                <w:rFonts w:asciiTheme="minorHAnsi" w:hAnsiTheme="minorHAnsi" w:cstheme="minorHAnsi"/>
                <w:sz w:val="18"/>
                <w:szCs w:val="18"/>
              </w:rPr>
            </w:pPr>
            <w:r w:rsidRPr="00B54400">
              <w:rPr>
                <w:rFonts w:asciiTheme="minorHAnsi" w:hAnsiTheme="minorHAnsi" w:cstheme="minorHAnsi"/>
                <w:sz w:val="18"/>
                <w:szCs w:val="18"/>
              </w:rPr>
              <w:t>8</w:t>
            </w:r>
            <w:r w:rsidR="005B772B" w:rsidRPr="00B54400">
              <w:rPr>
                <w:rFonts w:asciiTheme="minorHAnsi" w:hAnsiTheme="minorHAnsi" w:cstheme="minorHAnsi"/>
                <w:sz w:val="18"/>
                <w:szCs w:val="18"/>
              </w:rPr>
              <w:t>,</w:t>
            </w:r>
            <w:r w:rsidR="00FE5D1D"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46C5" w14:textId="39B1C107" w:rsidR="00FE5D1D" w:rsidRPr="00B54400" w:rsidRDefault="00FE5C31" w:rsidP="00FE5D1D">
            <w:pPr>
              <w:jc w:val="center"/>
              <w:rPr>
                <w:rFonts w:asciiTheme="minorHAnsi" w:hAnsiTheme="minorHAnsi" w:cstheme="minorHAnsi"/>
                <w:sz w:val="18"/>
                <w:szCs w:val="18"/>
              </w:rPr>
            </w:pPr>
            <w:r w:rsidRPr="00B54400">
              <w:rPr>
                <w:rFonts w:asciiTheme="minorHAnsi" w:hAnsiTheme="minorHAnsi" w:cstheme="minorHAnsi"/>
                <w:sz w:val="18"/>
                <w:szCs w:val="18"/>
              </w:rPr>
              <w:t>13</w:t>
            </w:r>
          </w:p>
        </w:tc>
      </w:tr>
      <w:tr w:rsidR="00FE5D1D" w:rsidRPr="004870C7" w14:paraId="3EFBE326" w14:textId="77777777" w:rsidTr="00956A5F">
        <w:trPr>
          <w:cantSplit/>
        </w:trPr>
        <w:tc>
          <w:tcPr>
            <w:tcW w:w="1936" w:type="dxa"/>
            <w:vMerge/>
            <w:tcBorders>
              <w:left w:val="double" w:sz="4" w:space="0" w:color="auto"/>
              <w:right w:val="single" w:sz="4" w:space="0" w:color="auto"/>
            </w:tcBorders>
            <w:shd w:val="clear" w:color="auto" w:fill="auto"/>
            <w:vAlign w:val="center"/>
          </w:tcPr>
          <w:p w14:paraId="4A2F3B1F"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10FC00FC" w14:textId="77777777" w:rsidR="00FE5D1D" w:rsidRPr="004870C7" w:rsidRDefault="00FE5D1D" w:rsidP="00FE5D1D">
            <w:pPr>
              <w:jc w:val="center"/>
              <w:rPr>
                <w:rFonts w:asciiTheme="minorHAnsi" w:hAnsiTheme="minorHAnsi" w:cstheme="minorHAnsi"/>
                <w:b/>
                <w:bCs/>
                <w:sz w:val="18"/>
                <w:szCs w:val="18"/>
              </w:rPr>
            </w:pPr>
          </w:p>
        </w:tc>
        <w:tc>
          <w:tcPr>
            <w:tcW w:w="915" w:type="dxa"/>
            <w:vMerge/>
            <w:tcBorders>
              <w:left w:val="single" w:sz="4" w:space="0" w:color="auto"/>
              <w:right w:val="single" w:sz="4" w:space="0" w:color="auto"/>
            </w:tcBorders>
            <w:shd w:val="clear" w:color="auto" w:fill="auto"/>
            <w:vAlign w:val="center"/>
          </w:tcPr>
          <w:p w14:paraId="2EBE8C87" w14:textId="77777777" w:rsidR="00FE5D1D" w:rsidRPr="004870C7" w:rsidRDefault="00FE5D1D" w:rsidP="00FE5D1D">
            <w:pPr>
              <w:rPr>
                <w:rFonts w:asciiTheme="minorHAnsi" w:hAnsiTheme="minorHAnsi" w:cstheme="minorHAnsi"/>
                <w:b/>
                <w:bCs/>
                <w:sz w:val="18"/>
                <w:szCs w:val="18"/>
              </w:rPr>
            </w:pPr>
          </w:p>
        </w:tc>
        <w:tc>
          <w:tcPr>
            <w:tcW w:w="1065" w:type="dxa"/>
            <w:vMerge/>
            <w:tcBorders>
              <w:left w:val="single" w:sz="4" w:space="0" w:color="auto"/>
              <w:right w:val="single" w:sz="4" w:space="0" w:color="auto"/>
            </w:tcBorders>
            <w:vAlign w:val="center"/>
          </w:tcPr>
          <w:p w14:paraId="5F21EDBC"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2535" w14:textId="7346FB49" w:rsidR="00FE5D1D" w:rsidRPr="00F175FB" w:rsidRDefault="00FE5D1D" w:rsidP="00FE5D1D">
            <w:pPr>
              <w:jc w:val="center"/>
              <w:rPr>
                <w:rFonts w:asciiTheme="minorHAnsi" w:hAnsiTheme="minorHAnsi" w:cstheme="minorHAnsi"/>
                <w:sz w:val="18"/>
                <w:szCs w:val="18"/>
                <w:highlight w:val="yellow"/>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228EA" w14:textId="0523263F" w:rsidR="00FE5D1D" w:rsidRPr="00F175FB" w:rsidRDefault="00FE5D1D" w:rsidP="00FE5D1D">
            <w:pPr>
              <w:rPr>
                <w:rFonts w:asciiTheme="minorHAnsi" w:hAnsiTheme="minorHAnsi" w:cstheme="minorHAnsi"/>
                <w:sz w:val="18"/>
                <w:szCs w:val="18"/>
                <w:highlight w:val="yellow"/>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8577F" w14:textId="307EE2C7" w:rsidR="00FE5D1D" w:rsidRPr="00B54400" w:rsidRDefault="00FE5D1D" w:rsidP="00FE5D1D">
            <w:pPr>
              <w:jc w:val="center"/>
              <w:rPr>
                <w:rFonts w:asciiTheme="minorHAnsi" w:hAnsiTheme="minorHAnsi" w:cstheme="minorHAnsi"/>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8FB6" w14:textId="0ECEC65C" w:rsidR="00FE5D1D" w:rsidRPr="00B54400" w:rsidRDefault="00FE5D1D" w:rsidP="00FE5D1D">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F42A" w14:textId="2D9C77A3" w:rsidR="00FE5D1D" w:rsidRPr="00B54400" w:rsidRDefault="00FE5D1D" w:rsidP="00FE5D1D">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DA7D5" w14:textId="66A6753D" w:rsidR="00FE5D1D" w:rsidRPr="00B54400" w:rsidRDefault="00FE5D1D" w:rsidP="00FE5D1D">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37C4F2C" w14:textId="1AEC9AE0" w:rsidR="00FE5D1D" w:rsidRPr="00B54400" w:rsidRDefault="00FE5D1D" w:rsidP="00FE5D1D">
            <w:pPr>
              <w:jc w:val="center"/>
              <w:rPr>
                <w:rFonts w:asciiTheme="minorHAnsi" w:hAnsiTheme="minorHAnsi" w:cstheme="minorHAnsi"/>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2F63F0D" w14:textId="17E84209" w:rsidR="00FE5D1D" w:rsidRPr="00B54400" w:rsidRDefault="00FE5D1D" w:rsidP="00FE5D1D">
            <w:pPr>
              <w:jc w:val="center"/>
              <w:rPr>
                <w:rFonts w:asciiTheme="minorHAnsi" w:hAnsiTheme="minorHAnsi" w:cstheme="minorHAnsi"/>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D9723" w14:textId="443A09F8" w:rsidR="00FE5D1D" w:rsidRPr="00B54400" w:rsidRDefault="00FE5D1D" w:rsidP="00FE5D1D">
            <w:pPr>
              <w:jc w:val="center"/>
              <w:rPr>
                <w:rFonts w:asciiTheme="minorHAnsi" w:hAnsiTheme="minorHAnsi" w:cstheme="minorHAnsi"/>
                <w:sz w:val="18"/>
                <w:szCs w:val="18"/>
              </w:rPr>
            </w:pPr>
          </w:p>
        </w:tc>
      </w:tr>
      <w:tr w:rsidR="00FE5D1D" w:rsidRPr="004870C7" w14:paraId="498F5B70" w14:textId="77777777" w:rsidTr="00956A5F">
        <w:trPr>
          <w:cantSplit/>
        </w:trPr>
        <w:tc>
          <w:tcPr>
            <w:tcW w:w="1936" w:type="dxa"/>
            <w:vMerge/>
            <w:tcBorders>
              <w:left w:val="double" w:sz="4" w:space="0" w:color="auto"/>
              <w:right w:val="single" w:sz="4" w:space="0" w:color="auto"/>
            </w:tcBorders>
            <w:shd w:val="clear" w:color="auto" w:fill="auto"/>
            <w:vAlign w:val="center"/>
          </w:tcPr>
          <w:p w14:paraId="6D67057D"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244A8C04" w14:textId="77777777" w:rsidR="00FE5D1D" w:rsidRPr="004870C7" w:rsidRDefault="00FE5D1D" w:rsidP="00FE5D1D">
            <w:pPr>
              <w:jc w:val="center"/>
              <w:rPr>
                <w:rFonts w:asciiTheme="minorHAnsi" w:hAnsiTheme="minorHAnsi" w:cstheme="minorHAnsi"/>
                <w:b/>
                <w:bCs/>
                <w:sz w:val="18"/>
                <w:szCs w:val="18"/>
              </w:rPr>
            </w:pPr>
          </w:p>
        </w:tc>
        <w:tc>
          <w:tcPr>
            <w:tcW w:w="915" w:type="dxa"/>
            <w:vMerge/>
            <w:tcBorders>
              <w:left w:val="single" w:sz="4" w:space="0" w:color="auto"/>
              <w:bottom w:val="single" w:sz="4" w:space="0" w:color="auto"/>
              <w:right w:val="single" w:sz="4" w:space="0" w:color="auto"/>
            </w:tcBorders>
            <w:shd w:val="clear" w:color="auto" w:fill="auto"/>
            <w:vAlign w:val="center"/>
          </w:tcPr>
          <w:p w14:paraId="5AEA35D1" w14:textId="77777777" w:rsidR="00FE5D1D" w:rsidRPr="004870C7" w:rsidRDefault="00FE5D1D" w:rsidP="00FE5D1D">
            <w:pPr>
              <w:rPr>
                <w:rFonts w:asciiTheme="minorHAnsi" w:hAnsiTheme="minorHAnsi" w:cstheme="minorHAnsi"/>
                <w:b/>
                <w:bCs/>
                <w:sz w:val="18"/>
                <w:szCs w:val="18"/>
              </w:rPr>
            </w:pPr>
          </w:p>
        </w:tc>
        <w:tc>
          <w:tcPr>
            <w:tcW w:w="1065" w:type="dxa"/>
            <w:vMerge/>
            <w:tcBorders>
              <w:left w:val="single" w:sz="4" w:space="0" w:color="auto"/>
              <w:bottom w:val="single" w:sz="4" w:space="0" w:color="auto"/>
              <w:right w:val="single" w:sz="4" w:space="0" w:color="auto"/>
            </w:tcBorders>
            <w:vAlign w:val="center"/>
          </w:tcPr>
          <w:p w14:paraId="661F6DE3"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78AEF" w14:textId="77777777" w:rsidR="00FE5D1D" w:rsidRPr="004870C7" w:rsidRDefault="00FE5D1D" w:rsidP="00FE5D1D">
            <w:pPr>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9DB20" w14:textId="77777777"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b/>
                <w:bCs/>
                <w:sz w:val="18"/>
                <w:szCs w:val="18"/>
              </w:rPr>
              <w:t>sub-total GEF</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82E78" w14:textId="03E607D9" w:rsidR="00FE5D1D" w:rsidRPr="00B54400" w:rsidRDefault="00BB3D50" w:rsidP="00FE5D1D">
            <w:pPr>
              <w:jc w:val="center"/>
              <w:rPr>
                <w:rFonts w:asciiTheme="minorHAnsi" w:hAnsiTheme="minorHAnsi" w:cstheme="minorHAnsi"/>
                <w:b/>
                <w:sz w:val="18"/>
                <w:szCs w:val="18"/>
              </w:rPr>
            </w:pPr>
            <w:r w:rsidRPr="00B54400">
              <w:rPr>
                <w:rFonts w:asciiTheme="minorHAnsi" w:hAnsiTheme="minorHAnsi" w:cstheme="minorHAnsi"/>
                <w:b/>
                <w:sz w:val="18"/>
                <w:szCs w:val="18"/>
              </w:rPr>
              <w:t>4</w:t>
            </w:r>
            <w:r w:rsidR="005B772B" w:rsidRPr="00B54400">
              <w:rPr>
                <w:rFonts w:asciiTheme="minorHAnsi" w:hAnsiTheme="minorHAnsi" w:cstheme="minorHAnsi"/>
                <w:b/>
                <w:sz w:val="18"/>
                <w:szCs w:val="18"/>
              </w:rPr>
              <w:t>,</w:t>
            </w:r>
            <w:r w:rsidR="00FE5D1D" w:rsidRPr="00B54400">
              <w:rPr>
                <w:rFonts w:asciiTheme="minorHAnsi" w:hAnsiTheme="minorHAnsi" w:cstheme="minorHAnsi"/>
                <w:b/>
                <w:sz w:val="18"/>
                <w:szCs w:val="18"/>
              </w:rPr>
              <w:t>500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953F" w14:textId="71FE37B9" w:rsidR="00FE5D1D" w:rsidRPr="00B54400" w:rsidRDefault="003537BA" w:rsidP="00FE5D1D">
            <w:pPr>
              <w:jc w:val="center"/>
              <w:rPr>
                <w:rFonts w:asciiTheme="minorHAnsi" w:hAnsiTheme="minorHAnsi" w:cstheme="minorHAnsi"/>
                <w:b/>
                <w:sz w:val="18"/>
                <w:szCs w:val="18"/>
              </w:rPr>
            </w:pPr>
            <w:r w:rsidRPr="00B54400">
              <w:rPr>
                <w:rFonts w:asciiTheme="minorHAnsi" w:hAnsiTheme="minorHAnsi" w:cstheme="minorHAnsi"/>
                <w:b/>
                <w:sz w:val="18"/>
                <w:szCs w:val="18"/>
              </w:rPr>
              <w:t>6</w:t>
            </w:r>
            <w:r w:rsidR="005B772B" w:rsidRPr="00B54400">
              <w:rPr>
                <w:rFonts w:asciiTheme="minorHAnsi" w:hAnsiTheme="minorHAnsi" w:cstheme="minorHAnsi"/>
                <w:b/>
                <w:sz w:val="18"/>
                <w:szCs w:val="18"/>
              </w:rPr>
              <w:t>,</w:t>
            </w:r>
            <w:r w:rsidR="00FE5D1D" w:rsidRPr="00B54400">
              <w:rPr>
                <w:rFonts w:asciiTheme="minorHAnsi" w:hAnsiTheme="minorHAnsi" w:cstheme="minorHAnsi"/>
                <w:b/>
                <w:sz w:val="18"/>
                <w:szCs w:val="18"/>
              </w:rPr>
              <w:t>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820D" w14:textId="039E131A" w:rsidR="00FE5D1D" w:rsidRPr="00B54400" w:rsidRDefault="003537BA" w:rsidP="00FE5D1D">
            <w:pPr>
              <w:jc w:val="center"/>
              <w:rPr>
                <w:rFonts w:asciiTheme="minorHAnsi" w:hAnsiTheme="minorHAnsi" w:cstheme="minorHAnsi"/>
                <w:b/>
                <w:sz w:val="18"/>
                <w:szCs w:val="18"/>
              </w:rPr>
            </w:pPr>
            <w:r w:rsidRPr="00B54400">
              <w:rPr>
                <w:rFonts w:asciiTheme="minorHAnsi" w:hAnsiTheme="minorHAnsi" w:cstheme="minorHAnsi"/>
                <w:b/>
                <w:sz w:val="18"/>
                <w:szCs w:val="18"/>
              </w:rPr>
              <w:t>4</w:t>
            </w:r>
            <w:r w:rsidR="005B772B" w:rsidRPr="00B54400">
              <w:rPr>
                <w:rFonts w:asciiTheme="minorHAnsi" w:hAnsiTheme="minorHAnsi" w:cstheme="minorHAnsi"/>
                <w:b/>
                <w:sz w:val="18"/>
                <w:szCs w:val="18"/>
              </w:rPr>
              <w:t>,</w:t>
            </w:r>
            <w:r w:rsidR="00FE5D1D" w:rsidRPr="00B54400">
              <w:rPr>
                <w:rFonts w:asciiTheme="minorHAnsi" w:hAnsiTheme="minorHAnsi" w:cstheme="minorHAnsi"/>
                <w:b/>
                <w:sz w:val="18"/>
                <w:szCs w:val="18"/>
              </w:rPr>
              <w:t>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F29B5" w14:textId="0A900D7B" w:rsidR="00FE5D1D" w:rsidRPr="00B54400" w:rsidRDefault="00FE5D1D" w:rsidP="00FE5D1D">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3537BA" w:rsidRPr="00B54400">
              <w:rPr>
                <w:rFonts w:asciiTheme="minorHAnsi" w:hAnsiTheme="minorHAnsi" w:cstheme="minorHAnsi"/>
                <w:b/>
                <w:sz w:val="18"/>
                <w:szCs w:val="18"/>
              </w:rPr>
              <w:t>4</w:t>
            </w:r>
            <w:r w:rsidR="009462B7" w:rsidRPr="00B54400">
              <w:rPr>
                <w:rFonts w:asciiTheme="minorHAnsi" w:hAnsiTheme="minorHAnsi" w:cstheme="minorHAnsi"/>
                <w:b/>
                <w:sz w:val="18"/>
                <w:szCs w:val="18"/>
              </w:rPr>
              <w:t>,</w:t>
            </w:r>
            <w:r w:rsidRPr="00B54400">
              <w:rPr>
                <w:rFonts w:asciiTheme="minorHAnsi" w:hAnsiTheme="minorHAnsi" w:cstheme="minorHAnsi"/>
                <w:b/>
                <w:sz w:val="18"/>
                <w:szCs w:val="18"/>
              </w:rPr>
              <w:t>500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8FFB755" w14:textId="7128A22D" w:rsidR="00FE5D1D" w:rsidRPr="00B54400" w:rsidRDefault="003537BA" w:rsidP="00FE5D1D">
            <w:pPr>
              <w:jc w:val="center"/>
              <w:rPr>
                <w:rFonts w:asciiTheme="minorHAnsi" w:hAnsiTheme="minorHAnsi" w:cstheme="minorHAnsi"/>
                <w:b/>
                <w:sz w:val="18"/>
                <w:szCs w:val="18"/>
              </w:rPr>
            </w:pPr>
            <w:r w:rsidRPr="00B54400">
              <w:rPr>
                <w:rFonts w:asciiTheme="minorHAnsi" w:hAnsiTheme="minorHAnsi" w:cstheme="minorHAnsi"/>
                <w:b/>
                <w:sz w:val="18"/>
                <w:szCs w:val="18"/>
              </w:rPr>
              <w:t>10</w:t>
            </w:r>
            <w:r w:rsidR="009462B7" w:rsidRPr="00B54400">
              <w:rPr>
                <w:rFonts w:asciiTheme="minorHAnsi" w:hAnsiTheme="minorHAnsi" w:cstheme="minorHAnsi"/>
                <w:b/>
                <w:sz w:val="18"/>
                <w:szCs w:val="18"/>
              </w:rPr>
              <w:t>,</w:t>
            </w:r>
            <w:r w:rsidR="00FE5D1D" w:rsidRPr="00B54400">
              <w:rPr>
                <w:rFonts w:asciiTheme="minorHAnsi" w:hAnsiTheme="minorHAnsi" w:cstheme="minorHAnsi"/>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52902A9" w14:textId="785ECB6B" w:rsidR="00FE5D1D" w:rsidRPr="00B54400" w:rsidRDefault="003537BA" w:rsidP="00FE5D1D">
            <w:pPr>
              <w:jc w:val="center"/>
              <w:rPr>
                <w:rFonts w:asciiTheme="minorHAnsi" w:hAnsiTheme="minorHAnsi" w:cstheme="minorHAnsi"/>
                <w:b/>
                <w:sz w:val="18"/>
                <w:szCs w:val="18"/>
              </w:rPr>
            </w:pPr>
            <w:r w:rsidRPr="00B54400">
              <w:rPr>
                <w:rFonts w:asciiTheme="minorHAnsi" w:hAnsiTheme="minorHAnsi" w:cstheme="minorHAnsi"/>
                <w:b/>
                <w:sz w:val="18"/>
                <w:szCs w:val="18"/>
              </w:rPr>
              <w:t>40</w:t>
            </w:r>
            <w:r w:rsidR="009462B7" w:rsidRPr="00B54400">
              <w:rPr>
                <w:rFonts w:asciiTheme="minorHAnsi" w:hAnsiTheme="minorHAnsi" w:cstheme="minorHAnsi"/>
                <w:b/>
                <w:sz w:val="18"/>
                <w:szCs w:val="18"/>
              </w:rPr>
              <w:t>,</w:t>
            </w:r>
            <w:r w:rsidR="00FE5D1D" w:rsidRPr="00B54400">
              <w:rPr>
                <w:rFonts w:asciiTheme="minorHAnsi" w:hAnsiTheme="minorHAnsi" w:cstheme="minorHAnsi"/>
                <w:b/>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CB83" w14:textId="531CD15E" w:rsidR="00FE5D1D" w:rsidRPr="00B54400" w:rsidRDefault="00FE5D1D" w:rsidP="00FE5D1D">
            <w:pPr>
              <w:jc w:val="center"/>
              <w:rPr>
                <w:rFonts w:asciiTheme="minorHAnsi" w:hAnsiTheme="minorHAnsi" w:cstheme="minorHAnsi"/>
                <w:b/>
                <w:sz w:val="18"/>
                <w:szCs w:val="18"/>
              </w:rPr>
            </w:pPr>
          </w:p>
        </w:tc>
      </w:tr>
      <w:tr w:rsidR="00FE5D1D" w:rsidRPr="004870C7" w14:paraId="7A27EC73" w14:textId="77777777" w:rsidTr="00956A5F">
        <w:trPr>
          <w:cantSplit/>
        </w:trPr>
        <w:tc>
          <w:tcPr>
            <w:tcW w:w="1936" w:type="dxa"/>
            <w:vMerge/>
            <w:tcBorders>
              <w:left w:val="double" w:sz="4" w:space="0" w:color="auto"/>
              <w:bottom w:val="double" w:sz="4" w:space="0" w:color="auto"/>
              <w:right w:val="single" w:sz="4" w:space="0" w:color="auto"/>
            </w:tcBorders>
            <w:shd w:val="clear" w:color="auto" w:fill="auto"/>
            <w:vAlign w:val="center"/>
          </w:tcPr>
          <w:p w14:paraId="41770672"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bottom w:val="double" w:sz="4" w:space="0" w:color="auto"/>
              <w:right w:val="single" w:sz="4" w:space="0" w:color="auto"/>
            </w:tcBorders>
            <w:shd w:val="clear" w:color="auto" w:fill="auto"/>
            <w:vAlign w:val="center"/>
          </w:tcPr>
          <w:p w14:paraId="0E3F2187" w14:textId="77777777" w:rsidR="00FE5D1D" w:rsidRPr="004870C7" w:rsidRDefault="00FE5D1D" w:rsidP="00FE5D1D">
            <w:pPr>
              <w:jc w:val="center"/>
              <w:rPr>
                <w:rFonts w:asciiTheme="minorHAnsi" w:hAnsiTheme="minorHAnsi" w:cstheme="minorHAnsi"/>
                <w:b/>
                <w:bCs/>
                <w:sz w:val="18"/>
                <w:szCs w:val="18"/>
              </w:rPr>
            </w:pPr>
          </w:p>
        </w:tc>
        <w:tc>
          <w:tcPr>
            <w:tcW w:w="915" w:type="dxa"/>
            <w:tcBorders>
              <w:top w:val="double" w:sz="4" w:space="0" w:color="auto"/>
              <w:left w:val="single" w:sz="4" w:space="0" w:color="auto"/>
              <w:bottom w:val="double" w:sz="4" w:space="0" w:color="auto"/>
              <w:right w:val="single" w:sz="4" w:space="0" w:color="auto"/>
            </w:tcBorders>
            <w:shd w:val="clear" w:color="auto" w:fill="auto"/>
            <w:vAlign w:val="center"/>
          </w:tcPr>
          <w:p w14:paraId="26F5F0EA"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vAlign w:val="center"/>
          </w:tcPr>
          <w:p w14:paraId="442815AD" w14:textId="77777777" w:rsidR="00FE5D1D" w:rsidRPr="004870C7" w:rsidRDefault="00FE5D1D" w:rsidP="00FE5D1D">
            <w:pPr>
              <w:jc w:val="cente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0D4716D" w14:textId="77777777" w:rsidR="00FE5D1D" w:rsidRPr="004870C7" w:rsidRDefault="00FE5D1D" w:rsidP="00FE5D1D">
            <w:pPr>
              <w:jc w:val="center"/>
              <w:rPr>
                <w:rFonts w:asciiTheme="minorHAnsi" w:hAnsiTheme="minorHAnsi" w:cstheme="minorHAnsi"/>
                <w:sz w:val="18"/>
                <w:szCs w:val="18"/>
              </w:rPr>
            </w:pPr>
          </w:p>
        </w:tc>
        <w:tc>
          <w:tcPr>
            <w:tcW w:w="162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1104BCD" w14:textId="77777777" w:rsidR="00FE5D1D" w:rsidRPr="004870C7" w:rsidRDefault="00FE5D1D" w:rsidP="00FE5D1D">
            <w:pPr>
              <w:rPr>
                <w:rFonts w:asciiTheme="minorHAnsi" w:hAnsiTheme="minorHAnsi" w:cstheme="minorHAnsi"/>
                <w:b/>
                <w:bCs/>
                <w:sz w:val="18"/>
                <w:szCs w:val="18"/>
              </w:rPr>
            </w:pPr>
            <w:r w:rsidRPr="004870C7">
              <w:rPr>
                <w:rFonts w:asciiTheme="minorHAnsi" w:hAnsiTheme="minorHAnsi" w:cstheme="minorHAnsi"/>
                <w:b/>
                <w:bCs/>
                <w:sz w:val="18"/>
                <w:szCs w:val="18"/>
              </w:rPr>
              <w:t>Total Outcome 5</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938ABD8" w14:textId="4A54F9A0" w:rsidR="00FE5D1D" w:rsidRPr="00B54400" w:rsidRDefault="00BB3D50"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4</w:t>
            </w:r>
            <w:r w:rsidR="005B772B" w:rsidRPr="00B54400">
              <w:rPr>
                <w:rFonts w:asciiTheme="minorHAnsi" w:hAnsiTheme="minorHAnsi" w:cstheme="minorHAnsi"/>
                <w:b/>
                <w:bCs/>
                <w:sz w:val="18"/>
                <w:szCs w:val="18"/>
              </w:rPr>
              <w:t>,</w:t>
            </w:r>
            <w:r w:rsidR="00FE5D1D" w:rsidRPr="00B54400">
              <w:rPr>
                <w:rFonts w:asciiTheme="minorHAnsi" w:hAnsiTheme="minorHAnsi" w:cstheme="minorHAnsi"/>
                <w:b/>
                <w:bCs/>
                <w:sz w:val="18"/>
                <w:szCs w:val="18"/>
              </w:rPr>
              <w:t>500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E257C66" w14:textId="3AC60696" w:rsidR="00FE5D1D" w:rsidRPr="00B54400" w:rsidRDefault="003537BA"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6</w:t>
            </w:r>
            <w:r w:rsidR="005B772B" w:rsidRPr="00B54400">
              <w:rPr>
                <w:rFonts w:asciiTheme="minorHAnsi" w:hAnsiTheme="minorHAnsi" w:cstheme="minorHAnsi"/>
                <w:b/>
                <w:bCs/>
                <w:sz w:val="18"/>
                <w:szCs w:val="18"/>
              </w:rPr>
              <w:t>,</w:t>
            </w:r>
            <w:r w:rsidR="00FE5D1D" w:rsidRPr="00B54400">
              <w:rPr>
                <w:rFonts w:asciiTheme="minorHAnsi" w:hAnsiTheme="minorHAnsi" w:cstheme="minorHAnsi"/>
                <w:b/>
                <w:bCs/>
                <w:sz w:val="18"/>
                <w:szCs w:val="18"/>
              </w:rPr>
              <w:t>500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F222ED2" w14:textId="20D11C8D" w:rsidR="00FE5D1D" w:rsidRPr="00B54400" w:rsidRDefault="003537BA"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4</w:t>
            </w:r>
            <w:r w:rsidR="005B772B" w:rsidRPr="00B54400">
              <w:rPr>
                <w:rFonts w:asciiTheme="minorHAnsi" w:hAnsiTheme="minorHAnsi" w:cstheme="minorHAnsi"/>
                <w:b/>
                <w:bCs/>
                <w:sz w:val="18"/>
                <w:szCs w:val="18"/>
              </w:rPr>
              <w:t>,</w:t>
            </w:r>
            <w:r w:rsidR="00FE5D1D" w:rsidRPr="00B54400">
              <w:rPr>
                <w:rFonts w:asciiTheme="minorHAnsi" w:hAnsiTheme="minorHAnsi" w:cstheme="minorHAnsi"/>
                <w:b/>
                <w:bCs/>
                <w:sz w:val="18"/>
                <w:szCs w:val="18"/>
              </w:rPr>
              <w:t>500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D6AF8FF" w14:textId="6CD0DDAD" w:rsidR="00FE5D1D" w:rsidRPr="00B54400" w:rsidRDefault="00FE5D1D"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1</w:t>
            </w:r>
            <w:r w:rsidR="003537BA" w:rsidRPr="00B54400">
              <w:rPr>
                <w:rFonts w:asciiTheme="minorHAnsi" w:hAnsiTheme="minorHAnsi" w:cstheme="minorHAnsi"/>
                <w:b/>
                <w:bCs/>
                <w:sz w:val="18"/>
                <w:szCs w:val="18"/>
              </w:rPr>
              <w:t>4</w:t>
            </w:r>
            <w:r w:rsidR="009462B7" w:rsidRPr="00B54400">
              <w:rPr>
                <w:rFonts w:asciiTheme="minorHAnsi" w:hAnsiTheme="minorHAnsi" w:cstheme="minorHAnsi"/>
                <w:b/>
                <w:bCs/>
                <w:sz w:val="18"/>
                <w:szCs w:val="18"/>
              </w:rPr>
              <w:t>,</w:t>
            </w:r>
            <w:r w:rsidRPr="00B54400">
              <w:rPr>
                <w:rFonts w:asciiTheme="minorHAnsi" w:hAnsiTheme="minorHAnsi" w:cstheme="minorHAnsi"/>
                <w:b/>
                <w:bCs/>
                <w:sz w:val="18"/>
                <w:szCs w:val="18"/>
              </w:rPr>
              <w:t>500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2BDF05C9" w14:textId="0F64F5BB" w:rsidR="00FE5D1D" w:rsidRPr="00B54400" w:rsidRDefault="003537BA"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10</w:t>
            </w:r>
            <w:r w:rsidR="009462B7" w:rsidRPr="00B54400">
              <w:rPr>
                <w:rFonts w:asciiTheme="minorHAnsi" w:hAnsiTheme="minorHAnsi" w:cstheme="minorHAnsi"/>
                <w:b/>
                <w:bCs/>
                <w:sz w:val="18"/>
                <w:szCs w:val="18"/>
              </w:rPr>
              <w:t>,</w:t>
            </w:r>
            <w:r w:rsidR="00FE5D1D" w:rsidRPr="00B54400">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25EDBDDF" w14:textId="354A2927" w:rsidR="00FE5D1D" w:rsidRPr="00B54400" w:rsidRDefault="003537BA" w:rsidP="00FE5D1D">
            <w:pPr>
              <w:jc w:val="center"/>
              <w:rPr>
                <w:rFonts w:asciiTheme="minorHAnsi" w:hAnsiTheme="minorHAnsi" w:cstheme="minorHAnsi"/>
                <w:b/>
                <w:bCs/>
                <w:sz w:val="18"/>
                <w:szCs w:val="18"/>
              </w:rPr>
            </w:pPr>
            <w:r w:rsidRPr="00B54400">
              <w:rPr>
                <w:rFonts w:asciiTheme="minorHAnsi" w:hAnsiTheme="minorHAnsi" w:cstheme="minorHAnsi"/>
                <w:b/>
                <w:bCs/>
                <w:sz w:val="18"/>
                <w:szCs w:val="18"/>
              </w:rPr>
              <w:t>4</w:t>
            </w:r>
            <w:r w:rsidR="00FE5D1D" w:rsidRPr="00B54400">
              <w:rPr>
                <w:rFonts w:asciiTheme="minorHAnsi" w:hAnsiTheme="minorHAnsi" w:cstheme="minorHAnsi"/>
                <w:b/>
                <w:bCs/>
                <w:sz w:val="18"/>
                <w:szCs w:val="18"/>
              </w:rPr>
              <w:t>0</w:t>
            </w:r>
            <w:r w:rsidR="009462B7" w:rsidRPr="00B54400">
              <w:rPr>
                <w:rFonts w:asciiTheme="minorHAnsi" w:hAnsiTheme="minorHAnsi" w:cstheme="minorHAnsi"/>
                <w:b/>
                <w:bCs/>
                <w:sz w:val="18"/>
                <w:szCs w:val="18"/>
              </w:rPr>
              <w:t>,</w:t>
            </w:r>
            <w:r w:rsidR="00FE5D1D" w:rsidRPr="00B54400">
              <w:rPr>
                <w:rFonts w:asciiTheme="minorHAnsi" w:hAnsiTheme="minorHAnsi" w:cstheme="minorHAnsi"/>
                <w:b/>
                <w:bCs/>
                <w:sz w:val="18"/>
                <w:szCs w:val="18"/>
              </w:rPr>
              <w:t>00</w:t>
            </w:r>
            <w:r w:rsidR="005D22FD" w:rsidRPr="00B54400">
              <w:rPr>
                <w:rFonts w:asciiTheme="minorHAnsi" w:hAnsiTheme="minorHAnsi" w:cstheme="minorHAnsi"/>
                <w:b/>
                <w:bCs/>
                <w:sz w:val="18"/>
                <w:szCs w:val="18"/>
              </w:rPr>
              <w:t>0</w:t>
            </w:r>
          </w:p>
        </w:tc>
        <w:tc>
          <w:tcPr>
            <w:tcW w:w="76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C99E34A" w14:textId="1398D92B" w:rsidR="00FE5D1D" w:rsidRPr="00B54400" w:rsidRDefault="00FE5D1D" w:rsidP="00FE5D1D">
            <w:pPr>
              <w:jc w:val="center"/>
              <w:rPr>
                <w:rFonts w:asciiTheme="minorHAnsi" w:hAnsiTheme="minorHAnsi" w:cstheme="minorHAnsi"/>
                <w:sz w:val="18"/>
                <w:szCs w:val="18"/>
              </w:rPr>
            </w:pPr>
          </w:p>
        </w:tc>
      </w:tr>
      <w:tr w:rsidR="0073516D" w:rsidRPr="004870C7" w14:paraId="53F8C34A" w14:textId="77777777" w:rsidTr="00956A5F">
        <w:trPr>
          <w:cantSplit/>
        </w:trPr>
        <w:tc>
          <w:tcPr>
            <w:tcW w:w="1936" w:type="dxa"/>
            <w:vMerge w:val="restart"/>
            <w:tcBorders>
              <w:top w:val="double" w:sz="4" w:space="0" w:color="auto"/>
              <w:left w:val="double" w:sz="4" w:space="0" w:color="auto"/>
              <w:right w:val="single" w:sz="4" w:space="0" w:color="auto"/>
            </w:tcBorders>
            <w:shd w:val="clear" w:color="auto" w:fill="auto"/>
            <w:vAlign w:val="center"/>
          </w:tcPr>
          <w:p w14:paraId="68A70444" w14:textId="21E145A6" w:rsidR="0073516D" w:rsidRPr="004870C7" w:rsidRDefault="0073516D" w:rsidP="0073516D">
            <w:pPr>
              <w:jc w:val="center"/>
              <w:rPr>
                <w:rFonts w:asciiTheme="minorHAnsi" w:hAnsiTheme="minorHAnsi" w:cstheme="minorHAnsi"/>
                <w:caps/>
                <w:sz w:val="18"/>
                <w:szCs w:val="18"/>
              </w:rPr>
            </w:pPr>
            <w:r w:rsidRPr="004870C7">
              <w:rPr>
                <w:rFonts w:asciiTheme="minorHAnsi" w:hAnsiTheme="minorHAnsi" w:cstheme="minorHAnsi"/>
                <w:caps/>
                <w:sz w:val="18"/>
                <w:szCs w:val="18"/>
              </w:rPr>
              <w:t>Project management unit</w:t>
            </w:r>
          </w:p>
          <w:p w14:paraId="6A5B94B8" w14:textId="77777777" w:rsidR="0073516D" w:rsidRPr="004870C7" w:rsidRDefault="0073516D" w:rsidP="0073516D">
            <w:pPr>
              <w:jc w:val="center"/>
              <w:rPr>
                <w:rFonts w:asciiTheme="minorHAnsi" w:hAnsiTheme="minorHAnsi" w:cstheme="minorHAnsi"/>
                <w:b/>
                <w:bCs/>
                <w:caps/>
                <w:sz w:val="18"/>
                <w:szCs w:val="18"/>
              </w:rPr>
            </w:pPr>
          </w:p>
          <w:p w14:paraId="566545E3" w14:textId="53AFFF48" w:rsidR="0073516D" w:rsidRPr="004870C7" w:rsidRDefault="0073516D" w:rsidP="0073516D">
            <w:pPr>
              <w:jc w:val="center"/>
              <w:rPr>
                <w:rFonts w:asciiTheme="minorHAnsi" w:hAnsiTheme="minorHAnsi" w:cstheme="minorHAnsi"/>
                <w:bCs/>
                <w:caps/>
                <w:sz w:val="18"/>
                <w:szCs w:val="18"/>
              </w:rPr>
            </w:pPr>
          </w:p>
        </w:tc>
        <w:tc>
          <w:tcPr>
            <w:tcW w:w="1440" w:type="dxa"/>
            <w:vMerge w:val="restart"/>
            <w:tcBorders>
              <w:top w:val="double" w:sz="4" w:space="0" w:color="auto"/>
              <w:left w:val="single" w:sz="4" w:space="0" w:color="auto"/>
              <w:right w:val="single" w:sz="4" w:space="0" w:color="auto"/>
            </w:tcBorders>
            <w:shd w:val="clear" w:color="auto" w:fill="auto"/>
            <w:vAlign w:val="center"/>
          </w:tcPr>
          <w:p w14:paraId="0636F6A7" w14:textId="77777777" w:rsidR="0073516D" w:rsidRPr="004870C7" w:rsidRDefault="0073516D" w:rsidP="0073516D">
            <w:pPr>
              <w:jc w:val="center"/>
              <w:rPr>
                <w:rFonts w:asciiTheme="minorHAnsi" w:hAnsiTheme="minorHAnsi" w:cstheme="minorHAnsi"/>
                <w:b/>
                <w:bCs/>
                <w:sz w:val="18"/>
                <w:szCs w:val="18"/>
              </w:rPr>
            </w:pPr>
          </w:p>
          <w:p w14:paraId="05A10856" w14:textId="50147826" w:rsidR="0073516D" w:rsidRPr="004870C7" w:rsidRDefault="0073516D" w:rsidP="0073516D">
            <w:pPr>
              <w:jc w:val="center"/>
              <w:rPr>
                <w:rFonts w:asciiTheme="minorHAnsi" w:hAnsiTheme="minorHAnsi" w:cstheme="minorHAnsi"/>
                <w:b/>
                <w:bCs/>
                <w:sz w:val="18"/>
                <w:szCs w:val="18"/>
              </w:rPr>
            </w:pPr>
            <w:r w:rsidRPr="004870C7">
              <w:rPr>
                <w:rFonts w:asciiTheme="minorHAnsi" w:hAnsiTheme="minorHAnsi" w:cstheme="minorHAnsi"/>
                <w:b/>
                <w:bCs/>
                <w:sz w:val="18"/>
                <w:szCs w:val="18"/>
              </w:rPr>
              <w:t>MESPU</w:t>
            </w:r>
          </w:p>
        </w:tc>
        <w:tc>
          <w:tcPr>
            <w:tcW w:w="915" w:type="dxa"/>
            <w:vMerge w:val="restart"/>
            <w:tcBorders>
              <w:top w:val="double" w:sz="4" w:space="0" w:color="auto"/>
              <w:left w:val="single" w:sz="4" w:space="0" w:color="auto"/>
              <w:right w:val="single" w:sz="4" w:space="0" w:color="auto"/>
            </w:tcBorders>
            <w:shd w:val="clear" w:color="auto" w:fill="auto"/>
            <w:vAlign w:val="center"/>
          </w:tcPr>
          <w:p w14:paraId="0DC99068" w14:textId="77777777" w:rsidR="0073516D" w:rsidRPr="004870C7" w:rsidRDefault="0073516D" w:rsidP="0073516D">
            <w:pPr>
              <w:rPr>
                <w:rFonts w:asciiTheme="minorHAnsi" w:hAnsiTheme="minorHAnsi" w:cstheme="minorHAnsi"/>
                <w:b/>
                <w:bCs/>
                <w:sz w:val="18"/>
                <w:szCs w:val="18"/>
              </w:rPr>
            </w:pPr>
            <w:r w:rsidRPr="004870C7">
              <w:rPr>
                <w:rFonts w:asciiTheme="minorHAnsi" w:hAnsiTheme="minorHAnsi" w:cstheme="minorHAnsi"/>
                <w:b/>
                <w:bCs/>
                <w:sz w:val="18"/>
                <w:szCs w:val="18"/>
              </w:rPr>
              <w:t xml:space="preserve">   62000</w:t>
            </w:r>
          </w:p>
          <w:p w14:paraId="314B1345" w14:textId="3C52291D" w:rsidR="0073516D" w:rsidRPr="004870C7" w:rsidRDefault="0073516D" w:rsidP="0073516D">
            <w:pPr>
              <w:jc w:val="center"/>
              <w:rPr>
                <w:rFonts w:asciiTheme="minorHAnsi" w:hAnsiTheme="minorHAnsi" w:cstheme="minorHAnsi"/>
                <w:b/>
                <w:bCs/>
                <w:sz w:val="18"/>
                <w:szCs w:val="18"/>
              </w:rPr>
            </w:pPr>
          </w:p>
        </w:tc>
        <w:tc>
          <w:tcPr>
            <w:tcW w:w="1065" w:type="dxa"/>
            <w:vMerge w:val="restart"/>
            <w:tcBorders>
              <w:top w:val="double" w:sz="4" w:space="0" w:color="auto"/>
              <w:left w:val="single" w:sz="4" w:space="0" w:color="auto"/>
              <w:right w:val="single" w:sz="4" w:space="0" w:color="auto"/>
            </w:tcBorders>
            <w:vAlign w:val="center"/>
          </w:tcPr>
          <w:p w14:paraId="282F0CAC" w14:textId="77777777" w:rsidR="0073516D" w:rsidRPr="004870C7" w:rsidRDefault="0073516D" w:rsidP="0073516D">
            <w:pPr>
              <w:jc w:val="center"/>
              <w:rPr>
                <w:rFonts w:asciiTheme="minorHAnsi" w:hAnsiTheme="minorHAnsi" w:cstheme="minorHAnsi"/>
                <w:b/>
                <w:bCs/>
                <w:sz w:val="18"/>
                <w:szCs w:val="18"/>
              </w:rPr>
            </w:pPr>
          </w:p>
          <w:p w14:paraId="2CEEBC51" w14:textId="4A0DCD67" w:rsidR="0073516D" w:rsidRPr="004870C7" w:rsidRDefault="0073516D" w:rsidP="0073516D">
            <w:pPr>
              <w:jc w:val="center"/>
              <w:rPr>
                <w:rFonts w:asciiTheme="minorHAnsi" w:hAnsiTheme="minorHAnsi" w:cstheme="minorHAnsi"/>
                <w:b/>
                <w:bCs/>
                <w:sz w:val="18"/>
                <w:szCs w:val="18"/>
              </w:rPr>
            </w:pPr>
            <w:r w:rsidRPr="004870C7">
              <w:rPr>
                <w:rFonts w:asciiTheme="minorHAnsi" w:hAnsiTheme="minorHAnsi" w:cstheme="minorHAnsi"/>
                <w:b/>
                <w:bCs/>
                <w:sz w:val="18"/>
                <w:szCs w:val="18"/>
              </w:rPr>
              <w:t>GEF</w:t>
            </w:r>
          </w:p>
          <w:p w14:paraId="4A20ECE7" w14:textId="450074D6" w:rsidR="0073516D" w:rsidRPr="004870C7" w:rsidRDefault="0073516D" w:rsidP="0073516D">
            <w:pPr>
              <w:jc w:val="center"/>
              <w:rPr>
                <w:rFonts w:asciiTheme="minorHAnsi" w:hAnsiTheme="minorHAnsi" w:cstheme="minorHAnsi"/>
                <w:b/>
                <w:bCs/>
                <w:sz w:val="18"/>
                <w:szCs w:val="18"/>
              </w:rPr>
            </w:pPr>
            <w:r w:rsidRPr="004870C7">
              <w:rPr>
                <w:rFonts w:asciiTheme="minorHAnsi" w:hAnsiTheme="minorHAnsi" w:cstheme="minorHAnsi"/>
                <w:b/>
                <w:bCs/>
                <w:sz w:val="18"/>
                <w:szCs w:val="18"/>
              </w:rPr>
              <w:t>Trustee</w:t>
            </w:r>
          </w:p>
        </w:tc>
        <w:tc>
          <w:tcPr>
            <w:tcW w:w="1065" w:type="dxa"/>
            <w:tcBorders>
              <w:top w:val="double" w:sz="4" w:space="0" w:color="auto"/>
              <w:left w:val="single" w:sz="4" w:space="0" w:color="auto"/>
              <w:bottom w:val="single" w:sz="4" w:space="0" w:color="auto"/>
              <w:right w:val="single" w:sz="4" w:space="0" w:color="auto"/>
            </w:tcBorders>
            <w:shd w:val="clear" w:color="auto" w:fill="auto"/>
            <w:noWrap/>
          </w:tcPr>
          <w:p w14:paraId="6C2D2897" w14:textId="19650C13" w:rsidR="0073516D" w:rsidRPr="0073516D" w:rsidRDefault="0073516D" w:rsidP="0073516D">
            <w:pPr>
              <w:jc w:val="center"/>
              <w:rPr>
                <w:rFonts w:asciiTheme="minorHAnsi" w:hAnsiTheme="minorHAnsi" w:cstheme="minorHAnsi"/>
                <w:sz w:val="18"/>
                <w:szCs w:val="18"/>
              </w:rPr>
            </w:pPr>
            <w:r w:rsidRPr="0073516D">
              <w:rPr>
                <w:sz w:val="18"/>
                <w:szCs w:val="18"/>
              </w:rPr>
              <w:t>74100</w:t>
            </w:r>
          </w:p>
        </w:tc>
        <w:tc>
          <w:tcPr>
            <w:tcW w:w="1620" w:type="dxa"/>
            <w:tcBorders>
              <w:top w:val="double" w:sz="4" w:space="0" w:color="auto"/>
              <w:left w:val="single" w:sz="4" w:space="0" w:color="auto"/>
              <w:bottom w:val="single" w:sz="4" w:space="0" w:color="auto"/>
              <w:right w:val="single" w:sz="4" w:space="0" w:color="auto"/>
            </w:tcBorders>
            <w:shd w:val="clear" w:color="auto" w:fill="auto"/>
          </w:tcPr>
          <w:p w14:paraId="1B7B1E6C" w14:textId="548CE155" w:rsidR="0073516D" w:rsidRPr="0073516D" w:rsidRDefault="0073516D" w:rsidP="0073516D">
            <w:pPr>
              <w:jc w:val="left"/>
              <w:rPr>
                <w:rFonts w:asciiTheme="minorHAnsi" w:hAnsiTheme="minorHAnsi" w:cstheme="minorHAnsi"/>
                <w:sz w:val="18"/>
                <w:szCs w:val="18"/>
              </w:rPr>
            </w:pPr>
            <w:r w:rsidRPr="0073516D">
              <w:rPr>
                <w:sz w:val="18"/>
                <w:szCs w:val="18"/>
              </w:rPr>
              <w:t xml:space="preserve">Professional services </w:t>
            </w:r>
          </w:p>
        </w:tc>
        <w:tc>
          <w:tcPr>
            <w:tcW w:w="885" w:type="dxa"/>
            <w:tcBorders>
              <w:top w:val="double" w:sz="4" w:space="0" w:color="auto"/>
              <w:left w:val="single" w:sz="4" w:space="0" w:color="auto"/>
              <w:bottom w:val="single" w:sz="4" w:space="0" w:color="auto"/>
              <w:right w:val="single" w:sz="4" w:space="0" w:color="auto"/>
            </w:tcBorders>
            <w:shd w:val="clear" w:color="auto" w:fill="auto"/>
            <w:noWrap/>
          </w:tcPr>
          <w:p w14:paraId="5D4AC88F" w14:textId="3BAD6F11" w:rsidR="0073516D" w:rsidRPr="00B54400" w:rsidRDefault="0073516D" w:rsidP="0073516D">
            <w:pPr>
              <w:jc w:val="center"/>
              <w:rPr>
                <w:rFonts w:asciiTheme="minorHAnsi" w:hAnsiTheme="minorHAnsi" w:cstheme="minorHAnsi"/>
                <w:sz w:val="18"/>
                <w:szCs w:val="18"/>
              </w:rPr>
            </w:pPr>
            <w:r w:rsidRPr="00B54400">
              <w:rPr>
                <w:sz w:val="18"/>
                <w:szCs w:val="18"/>
              </w:rPr>
              <w:t>3,000</w:t>
            </w:r>
          </w:p>
        </w:tc>
        <w:tc>
          <w:tcPr>
            <w:tcW w:w="900" w:type="dxa"/>
            <w:tcBorders>
              <w:top w:val="double" w:sz="4" w:space="0" w:color="auto"/>
              <w:left w:val="single" w:sz="4" w:space="0" w:color="auto"/>
              <w:bottom w:val="single" w:sz="4" w:space="0" w:color="auto"/>
              <w:right w:val="single" w:sz="4" w:space="0" w:color="auto"/>
            </w:tcBorders>
            <w:shd w:val="clear" w:color="auto" w:fill="auto"/>
            <w:noWrap/>
          </w:tcPr>
          <w:p w14:paraId="18FD000D" w14:textId="078ABC51" w:rsidR="0073516D" w:rsidRPr="00B54400" w:rsidRDefault="0073516D" w:rsidP="0073516D">
            <w:pPr>
              <w:jc w:val="center"/>
              <w:rPr>
                <w:rFonts w:asciiTheme="minorHAnsi" w:hAnsiTheme="minorHAnsi" w:cstheme="minorHAnsi"/>
                <w:sz w:val="18"/>
                <w:szCs w:val="18"/>
              </w:rPr>
            </w:pPr>
            <w:r w:rsidRPr="00B54400">
              <w:rPr>
                <w:sz w:val="18"/>
                <w:szCs w:val="18"/>
              </w:rPr>
              <w:t>3,000</w:t>
            </w:r>
          </w:p>
        </w:tc>
        <w:tc>
          <w:tcPr>
            <w:tcW w:w="885" w:type="dxa"/>
            <w:tcBorders>
              <w:top w:val="double" w:sz="4" w:space="0" w:color="auto"/>
              <w:left w:val="single" w:sz="4" w:space="0" w:color="auto"/>
              <w:bottom w:val="single" w:sz="4" w:space="0" w:color="auto"/>
              <w:right w:val="single" w:sz="4" w:space="0" w:color="auto"/>
            </w:tcBorders>
            <w:shd w:val="clear" w:color="auto" w:fill="auto"/>
            <w:noWrap/>
          </w:tcPr>
          <w:p w14:paraId="3CF7ADFE" w14:textId="70671A6F" w:rsidR="0073516D" w:rsidRPr="00B54400" w:rsidRDefault="0073516D" w:rsidP="0073516D">
            <w:pPr>
              <w:jc w:val="center"/>
              <w:rPr>
                <w:rFonts w:asciiTheme="minorHAnsi" w:hAnsiTheme="minorHAnsi" w:cstheme="minorHAnsi"/>
                <w:sz w:val="18"/>
                <w:szCs w:val="18"/>
              </w:rPr>
            </w:pPr>
            <w:r w:rsidRPr="00B54400">
              <w:rPr>
                <w:sz w:val="18"/>
                <w:szCs w:val="18"/>
              </w:rPr>
              <w:t>3,000</w:t>
            </w:r>
          </w:p>
        </w:tc>
        <w:tc>
          <w:tcPr>
            <w:tcW w:w="885" w:type="dxa"/>
            <w:tcBorders>
              <w:top w:val="double" w:sz="4" w:space="0" w:color="auto"/>
              <w:left w:val="single" w:sz="4" w:space="0" w:color="auto"/>
              <w:bottom w:val="single" w:sz="4" w:space="0" w:color="auto"/>
              <w:right w:val="single" w:sz="4" w:space="0" w:color="auto"/>
            </w:tcBorders>
            <w:shd w:val="clear" w:color="auto" w:fill="auto"/>
            <w:noWrap/>
          </w:tcPr>
          <w:p w14:paraId="04DAB6C1" w14:textId="3E6DF834" w:rsidR="0073516D" w:rsidRPr="00B54400" w:rsidRDefault="0073516D" w:rsidP="0073516D">
            <w:pPr>
              <w:jc w:val="center"/>
              <w:rPr>
                <w:rFonts w:asciiTheme="minorHAnsi" w:hAnsiTheme="minorHAnsi" w:cstheme="minorHAnsi"/>
                <w:sz w:val="18"/>
                <w:szCs w:val="18"/>
              </w:rPr>
            </w:pPr>
            <w:r w:rsidRPr="00B54400">
              <w:rPr>
                <w:sz w:val="18"/>
                <w:szCs w:val="18"/>
              </w:rPr>
              <w:t>3,000</w:t>
            </w:r>
          </w:p>
        </w:tc>
        <w:tc>
          <w:tcPr>
            <w:tcW w:w="885" w:type="dxa"/>
            <w:tcBorders>
              <w:top w:val="double" w:sz="4" w:space="0" w:color="auto"/>
              <w:left w:val="single" w:sz="4" w:space="0" w:color="auto"/>
              <w:bottom w:val="single" w:sz="4" w:space="0" w:color="auto"/>
              <w:right w:val="single" w:sz="4" w:space="0" w:color="auto"/>
            </w:tcBorders>
            <w:shd w:val="clear" w:color="auto" w:fill="auto"/>
          </w:tcPr>
          <w:p w14:paraId="55A1B68B" w14:textId="1BD7C1AD" w:rsidR="0073516D" w:rsidRPr="00B54400" w:rsidRDefault="0073516D" w:rsidP="0073516D">
            <w:pPr>
              <w:jc w:val="center"/>
              <w:rPr>
                <w:rFonts w:asciiTheme="minorHAnsi" w:hAnsiTheme="minorHAnsi" w:cstheme="minorHAnsi"/>
                <w:sz w:val="18"/>
                <w:szCs w:val="18"/>
              </w:rPr>
            </w:pPr>
            <w:r w:rsidRPr="00B54400">
              <w:rPr>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tcPr>
          <w:p w14:paraId="37E4E7AF" w14:textId="3F2DDB12" w:rsidR="0073516D" w:rsidRPr="00B54400" w:rsidRDefault="0073516D" w:rsidP="0073516D">
            <w:pPr>
              <w:jc w:val="center"/>
              <w:rPr>
                <w:rFonts w:asciiTheme="minorHAnsi" w:hAnsiTheme="minorHAnsi" w:cstheme="minorHAnsi"/>
                <w:sz w:val="18"/>
                <w:szCs w:val="18"/>
              </w:rPr>
            </w:pPr>
            <w:r w:rsidRPr="00B54400">
              <w:rPr>
                <w:sz w:val="18"/>
                <w:szCs w:val="18"/>
              </w:rPr>
              <w:t>12,000</w:t>
            </w:r>
          </w:p>
        </w:tc>
        <w:tc>
          <w:tcPr>
            <w:tcW w:w="764" w:type="dxa"/>
            <w:tcBorders>
              <w:top w:val="double" w:sz="4" w:space="0" w:color="auto"/>
              <w:left w:val="single" w:sz="4" w:space="0" w:color="auto"/>
              <w:bottom w:val="single" w:sz="4" w:space="0" w:color="auto"/>
              <w:right w:val="single" w:sz="4" w:space="0" w:color="auto"/>
            </w:tcBorders>
            <w:shd w:val="clear" w:color="auto" w:fill="auto"/>
            <w:noWrap/>
          </w:tcPr>
          <w:p w14:paraId="639901B5" w14:textId="019D3980" w:rsidR="0073516D" w:rsidRPr="00B54400" w:rsidRDefault="00F175FB" w:rsidP="0073516D">
            <w:pPr>
              <w:jc w:val="center"/>
              <w:rPr>
                <w:rFonts w:asciiTheme="minorHAnsi" w:hAnsiTheme="minorHAnsi" w:cstheme="minorHAnsi"/>
                <w:sz w:val="18"/>
                <w:szCs w:val="18"/>
              </w:rPr>
            </w:pPr>
            <w:r w:rsidRPr="00B54400">
              <w:rPr>
                <w:sz w:val="18"/>
                <w:szCs w:val="18"/>
              </w:rPr>
              <w:t>16</w:t>
            </w:r>
          </w:p>
        </w:tc>
      </w:tr>
      <w:tr w:rsidR="0073516D" w:rsidRPr="004870C7" w14:paraId="4AA10BFB" w14:textId="77777777" w:rsidTr="00956A5F">
        <w:trPr>
          <w:cantSplit/>
        </w:trPr>
        <w:tc>
          <w:tcPr>
            <w:tcW w:w="1936" w:type="dxa"/>
            <w:vMerge/>
            <w:tcBorders>
              <w:left w:val="double" w:sz="4" w:space="0" w:color="auto"/>
              <w:right w:val="single" w:sz="4" w:space="0" w:color="auto"/>
            </w:tcBorders>
            <w:shd w:val="clear" w:color="auto" w:fill="auto"/>
            <w:vAlign w:val="center"/>
          </w:tcPr>
          <w:p w14:paraId="5ED8AF93" w14:textId="77777777" w:rsidR="0073516D" w:rsidRPr="004870C7" w:rsidRDefault="0073516D" w:rsidP="0073516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39D48A0C" w14:textId="77777777" w:rsidR="0073516D" w:rsidRPr="004870C7" w:rsidRDefault="0073516D" w:rsidP="0073516D">
            <w:pPr>
              <w:rPr>
                <w:rFonts w:asciiTheme="minorHAnsi" w:hAnsiTheme="minorHAnsi" w:cstheme="minorHAnsi"/>
                <w:b/>
                <w:bCs/>
                <w:sz w:val="18"/>
                <w:szCs w:val="18"/>
              </w:rPr>
            </w:pPr>
          </w:p>
        </w:tc>
        <w:tc>
          <w:tcPr>
            <w:tcW w:w="915" w:type="dxa"/>
            <w:vMerge/>
            <w:tcBorders>
              <w:left w:val="single" w:sz="4" w:space="0" w:color="auto"/>
              <w:bottom w:val="single" w:sz="4" w:space="0" w:color="auto"/>
              <w:right w:val="single" w:sz="4" w:space="0" w:color="auto"/>
            </w:tcBorders>
            <w:shd w:val="clear" w:color="auto" w:fill="auto"/>
            <w:vAlign w:val="center"/>
          </w:tcPr>
          <w:p w14:paraId="29C0BA90" w14:textId="77777777" w:rsidR="0073516D" w:rsidRPr="004870C7" w:rsidRDefault="0073516D" w:rsidP="0073516D">
            <w:pPr>
              <w:rPr>
                <w:rFonts w:asciiTheme="minorHAnsi" w:hAnsiTheme="minorHAnsi" w:cstheme="minorHAnsi"/>
                <w:b/>
                <w:bCs/>
                <w:sz w:val="18"/>
                <w:szCs w:val="18"/>
              </w:rPr>
            </w:pPr>
          </w:p>
        </w:tc>
        <w:tc>
          <w:tcPr>
            <w:tcW w:w="1065" w:type="dxa"/>
            <w:vMerge/>
            <w:tcBorders>
              <w:left w:val="single" w:sz="4" w:space="0" w:color="auto"/>
              <w:bottom w:val="single" w:sz="4" w:space="0" w:color="auto"/>
              <w:right w:val="single" w:sz="4" w:space="0" w:color="auto"/>
            </w:tcBorders>
            <w:vAlign w:val="center"/>
          </w:tcPr>
          <w:p w14:paraId="61C1F5BC" w14:textId="77777777" w:rsidR="0073516D" w:rsidRPr="004870C7" w:rsidRDefault="0073516D" w:rsidP="0073516D">
            <w:pP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FD1BD0" w14:textId="21246259" w:rsidR="0073516D" w:rsidRPr="0073516D" w:rsidRDefault="0073516D" w:rsidP="0073516D">
            <w:pPr>
              <w:jc w:val="center"/>
              <w:rPr>
                <w:sz w:val="18"/>
                <w:szCs w:val="18"/>
              </w:rPr>
            </w:pPr>
            <w:r w:rsidRPr="0073516D">
              <w:rPr>
                <w:sz w:val="18"/>
                <w:szCs w:val="18"/>
              </w:rPr>
              <w:t>71800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20F7B1" w14:textId="0BDDAB27" w:rsidR="0073516D" w:rsidRPr="0073516D" w:rsidRDefault="0073516D" w:rsidP="0073516D">
            <w:pPr>
              <w:rPr>
                <w:sz w:val="18"/>
                <w:szCs w:val="18"/>
              </w:rPr>
            </w:pPr>
            <w:r w:rsidRPr="0073516D">
              <w:rPr>
                <w:sz w:val="18"/>
                <w:szCs w:val="18"/>
              </w:rPr>
              <w:t>Contractual services - IP</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14:paraId="78CB282D" w14:textId="51FBC132" w:rsidR="0073516D" w:rsidRPr="00B54400" w:rsidRDefault="0073516D" w:rsidP="0073516D">
            <w:pPr>
              <w:jc w:val="center"/>
              <w:rPr>
                <w:sz w:val="18"/>
                <w:szCs w:val="18"/>
              </w:rPr>
            </w:pPr>
            <w:r w:rsidRPr="00B54400">
              <w:rPr>
                <w:sz w:val="18"/>
                <w:szCs w:val="18"/>
              </w:rPr>
              <w:t>7,000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D12F40" w14:textId="422F86B0" w:rsidR="0073516D" w:rsidRPr="00B54400" w:rsidRDefault="0073516D" w:rsidP="0073516D">
            <w:pPr>
              <w:jc w:val="center"/>
              <w:rPr>
                <w:sz w:val="18"/>
                <w:szCs w:val="18"/>
              </w:rPr>
            </w:pPr>
            <w:r w:rsidRPr="00B54400">
              <w:rPr>
                <w:sz w:val="18"/>
                <w:szCs w:val="18"/>
              </w:rPr>
              <w:t>7,000</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14:paraId="080E691E" w14:textId="344EDA84" w:rsidR="0073516D" w:rsidRPr="00B54400" w:rsidRDefault="0073516D" w:rsidP="0073516D">
            <w:pPr>
              <w:jc w:val="center"/>
              <w:rPr>
                <w:sz w:val="18"/>
                <w:szCs w:val="18"/>
              </w:rPr>
            </w:pPr>
            <w:r w:rsidRPr="00B54400">
              <w:rPr>
                <w:sz w:val="18"/>
                <w:szCs w:val="18"/>
              </w:rPr>
              <w:t>7,000</w:t>
            </w:r>
          </w:p>
        </w:tc>
        <w:tc>
          <w:tcPr>
            <w:tcW w:w="885" w:type="dxa"/>
            <w:tcBorders>
              <w:top w:val="single" w:sz="4" w:space="0" w:color="auto"/>
              <w:left w:val="single" w:sz="4" w:space="0" w:color="auto"/>
              <w:bottom w:val="single" w:sz="4" w:space="0" w:color="auto"/>
              <w:right w:val="single" w:sz="4" w:space="0" w:color="auto"/>
            </w:tcBorders>
            <w:shd w:val="clear" w:color="auto" w:fill="auto"/>
            <w:noWrap/>
          </w:tcPr>
          <w:p w14:paraId="2BE36696" w14:textId="5021C5DB" w:rsidR="0073516D" w:rsidRPr="00B54400" w:rsidRDefault="0073516D" w:rsidP="0073516D">
            <w:pPr>
              <w:jc w:val="center"/>
              <w:rPr>
                <w:sz w:val="18"/>
                <w:szCs w:val="18"/>
              </w:rPr>
            </w:pPr>
            <w:r w:rsidRPr="00B54400">
              <w:rPr>
                <w:sz w:val="18"/>
                <w:szCs w:val="18"/>
              </w:rPr>
              <w:t>7,000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DE3554B" w14:textId="3AB03C79" w:rsidR="0073516D" w:rsidRPr="00B54400" w:rsidRDefault="0073516D" w:rsidP="0073516D">
            <w:pPr>
              <w:jc w:val="center"/>
              <w:rPr>
                <w:sz w:val="18"/>
                <w:szCs w:val="18"/>
              </w:rPr>
            </w:pPr>
            <w:r w:rsidRPr="00B54400">
              <w:rPr>
                <w:sz w:val="18"/>
                <w:szCs w:val="18"/>
              </w:rPr>
              <w:t>7,000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54BFF0E" w14:textId="160CC69A" w:rsidR="0073516D" w:rsidRPr="00B54400" w:rsidRDefault="0073516D" w:rsidP="0073516D">
            <w:pPr>
              <w:jc w:val="center"/>
              <w:rPr>
                <w:sz w:val="18"/>
                <w:szCs w:val="18"/>
              </w:rPr>
            </w:pPr>
            <w:r w:rsidRPr="00B54400">
              <w:rPr>
                <w:sz w:val="18"/>
                <w:szCs w:val="18"/>
              </w:rPr>
              <w:t>35,000</w:t>
            </w:r>
          </w:p>
        </w:tc>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6F8489A2" w14:textId="07B3A524" w:rsidR="0073516D" w:rsidRPr="00B54400" w:rsidRDefault="00F175FB" w:rsidP="0073516D">
            <w:pPr>
              <w:jc w:val="center"/>
              <w:rPr>
                <w:sz w:val="18"/>
                <w:szCs w:val="18"/>
              </w:rPr>
            </w:pPr>
            <w:r w:rsidRPr="00B54400">
              <w:rPr>
                <w:sz w:val="18"/>
                <w:szCs w:val="18"/>
              </w:rPr>
              <w:t>17</w:t>
            </w:r>
          </w:p>
        </w:tc>
      </w:tr>
      <w:tr w:rsidR="00FE5D1D" w:rsidRPr="004870C7" w14:paraId="7B3AB481" w14:textId="77777777" w:rsidTr="00956A5F">
        <w:trPr>
          <w:cantSplit/>
        </w:trPr>
        <w:tc>
          <w:tcPr>
            <w:tcW w:w="1936" w:type="dxa"/>
            <w:vMerge/>
            <w:tcBorders>
              <w:left w:val="double" w:sz="4" w:space="0" w:color="auto"/>
              <w:right w:val="single" w:sz="4" w:space="0" w:color="auto"/>
            </w:tcBorders>
            <w:shd w:val="clear" w:color="auto" w:fill="auto"/>
            <w:vAlign w:val="center"/>
          </w:tcPr>
          <w:p w14:paraId="3530D75D"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2DC2DE8E" w14:textId="77777777" w:rsidR="00FE5D1D" w:rsidRPr="004870C7" w:rsidRDefault="00FE5D1D" w:rsidP="00FE5D1D">
            <w:pPr>
              <w:rPr>
                <w:rFonts w:asciiTheme="minorHAnsi" w:hAnsiTheme="minorHAnsi" w:cstheme="minorHAnsi"/>
                <w:b/>
                <w:bCs/>
                <w:sz w:val="18"/>
                <w:szCs w:val="18"/>
              </w:rPr>
            </w:pPr>
          </w:p>
        </w:tc>
        <w:tc>
          <w:tcPr>
            <w:tcW w:w="915" w:type="dxa"/>
            <w:vMerge/>
            <w:tcBorders>
              <w:left w:val="single" w:sz="4" w:space="0" w:color="auto"/>
              <w:bottom w:val="single" w:sz="4" w:space="0" w:color="auto"/>
              <w:right w:val="single" w:sz="4" w:space="0" w:color="auto"/>
            </w:tcBorders>
            <w:shd w:val="clear" w:color="auto" w:fill="auto"/>
            <w:vAlign w:val="center"/>
          </w:tcPr>
          <w:p w14:paraId="27E0CA46" w14:textId="77777777" w:rsidR="00FE5D1D" w:rsidRPr="004870C7" w:rsidRDefault="00FE5D1D" w:rsidP="00FE5D1D">
            <w:pPr>
              <w:rPr>
                <w:rFonts w:asciiTheme="minorHAnsi" w:hAnsiTheme="minorHAnsi" w:cstheme="minorHAnsi"/>
                <w:b/>
                <w:bCs/>
                <w:sz w:val="18"/>
                <w:szCs w:val="18"/>
              </w:rPr>
            </w:pPr>
          </w:p>
        </w:tc>
        <w:tc>
          <w:tcPr>
            <w:tcW w:w="1065" w:type="dxa"/>
            <w:vMerge/>
            <w:tcBorders>
              <w:left w:val="single" w:sz="4" w:space="0" w:color="auto"/>
              <w:bottom w:val="single" w:sz="4" w:space="0" w:color="auto"/>
              <w:right w:val="single" w:sz="4" w:space="0" w:color="auto"/>
            </w:tcBorders>
            <w:vAlign w:val="center"/>
          </w:tcPr>
          <w:p w14:paraId="75BCAD5A" w14:textId="77777777" w:rsidR="00FE5D1D" w:rsidRPr="004870C7" w:rsidRDefault="00FE5D1D" w:rsidP="00FE5D1D">
            <w:pPr>
              <w:rPr>
                <w:rFonts w:asciiTheme="minorHAnsi" w:hAnsiTheme="minorHAnsi" w:cstheme="minorHAnsi"/>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3524D" w14:textId="77777777" w:rsidR="00FE5D1D" w:rsidRPr="004870C7" w:rsidRDefault="00FE5D1D" w:rsidP="00FE5D1D">
            <w:pPr>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93083" w14:textId="77777777" w:rsidR="00FE5D1D" w:rsidRPr="004870C7" w:rsidRDefault="00FE5D1D" w:rsidP="00FE5D1D">
            <w:pPr>
              <w:rPr>
                <w:rFonts w:asciiTheme="minorHAnsi" w:hAnsiTheme="minorHAnsi" w:cstheme="minorHAnsi"/>
                <w:sz w:val="18"/>
                <w:szCs w:val="18"/>
              </w:rPr>
            </w:pPr>
            <w:r w:rsidRPr="004870C7">
              <w:rPr>
                <w:rFonts w:asciiTheme="minorHAnsi" w:hAnsiTheme="minorHAnsi" w:cstheme="minorHAnsi"/>
                <w:b/>
                <w:bCs/>
                <w:sz w:val="18"/>
                <w:szCs w:val="18"/>
              </w:rPr>
              <w:t>sub-total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D193" w14:textId="14B7C40B"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10</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2F940" w14:textId="5D372954"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10</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0E809" w14:textId="2523455C"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10</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28EAA" w14:textId="7190FD7D" w:rsidR="00FE5D1D" w:rsidRPr="00B54400" w:rsidRDefault="00FE5D1D" w:rsidP="00FE5D1D">
            <w:pPr>
              <w:jc w:val="center"/>
              <w:rPr>
                <w:rFonts w:asciiTheme="minorHAnsi" w:hAnsiTheme="minorHAnsi" w:cstheme="minorHAnsi"/>
                <w:sz w:val="18"/>
                <w:szCs w:val="18"/>
              </w:rPr>
            </w:pPr>
            <w:r w:rsidRPr="00B54400">
              <w:rPr>
                <w:rFonts w:asciiTheme="minorHAnsi" w:hAnsiTheme="minorHAnsi" w:cstheme="minorHAnsi"/>
                <w:sz w:val="18"/>
                <w:szCs w:val="18"/>
              </w:rPr>
              <w:t>10</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707F118" w14:textId="624B3587" w:rsidR="00FE5D1D" w:rsidRPr="00B54400" w:rsidRDefault="00FE5D1D" w:rsidP="00885206">
            <w:pPr>
              <w:jc w:val="center"/>
              <w:rPr>
                <w:rFonts w:asciiTheme="minorHAnsi" w:hAnsiTheme="minorHAnsi" w:cstheme="minorHAnsi"/>
                <w:sz w:val="18"/>
                <w:szCs w:val="18"/>
              </w:rPr>
            </w:pPr>
            <w:r w:rsidRPr="00B54400">
              <w:rPr>
                <w:rFonts w:asciiTheme="minorHAnsi" w:hAnsiTheme="minorHAnsi" w:cstheme="minorHAnsi"/>
                <w:sz w:val="18"/>
                <w:szCs w:val="18"/>
              </w:rPr>
              <w:t>7</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6B8D752" w14:textId="3D6BCDFC" w:rsidR="00FE5D1D" w:rsidRPr="00B54400" w:rsidRDefault="00FE5D1D" w:rsidP="000148C7">
            <w:pPr>
              <w:jc w:val="center"/>
              <w:rPr>
                <w:rFonts w:asciiTheme="minorHAnsi" w:hAnsiTheme="minorHAnsi" w:cstheme="minorHAnsi"/>
                <w:sz w:val="18"/>
                <w:szCs w:val="18"/>
              </w:rPr>
            </w:pPr>
            <w:r w:rsidRPr="00B54400">
              <w:rPr>
                <w:rFonts w:asciiTheme="minorHAnsi" w:hAnsiTheme="minorHAnsi" w:cstheme="minorHAnsi"/>
                <w:sz w:val="18"/>
                <w:szCs w:val="18"/>
              </w:rPr>
              <w:t>47</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4813" w14:textId="6EA0E555" w:rsidR="00FE5D1D" w:rsidRPr="00B54400" w:rsidRDefault="00FE5D1D" w:rsidP="00FE5D1D">
            <w:pPr>
              <w:jc w:val="center"/>
              <w:rPr>
                <w:rFonts w:asciiTheme="minorHAnsi" w:hAnsiTheme="minorHAnsi" w:cstheme="minorHAnsi"/>
                <w:sz w:val="18"/>
                <w:szCs w:val="18"/>
              </w:rPr>
            </w:pPr>
          </w:p>
        </w:tc>
      </w:tr>
      <w:tr w:rsidR="00FE5D1D" w:rsidRPr="004870C7" w14:paraId="73F89BC7" w14:textId="77777777" w:rsidTr="00956A5F">
        <w:trPr>
          <w:cantSplit/>
        </w:trPr>
        <w:tc>
          <w:tcPr>
            <w:tcW w:w="1936" w:type="dxa"/>
            <w:vMerge/>
            <w:tcBorders>
              <w:left w:val="double" w:sz="4" w:space="0" w:color="auto"/>
              <w:right w:val="single" w:sz="4" w:space="0" w:color="auto"/>
            </w:tcBorders>
            <w:shd w:val="clear" w:color="auto" w:fill="auto"/>
            <w:noWrap/>
            <w:vAlign w:val="center"/>
          </w:tcPr>
          <w:p w14:paraId="2E5F0F28" w14:textId="77777777" w:rsidR="00FE5D1D" w:rsidRPr="004870C7" w:rsidRDefault="00FE5D1D" w:rsidP="00FE5D1D">
            <w:pPr>
              <w:rPr>
                <w:rFonts w:asciiTheme="minorHAnsi" w:hAnsiTheme="minorHAnsi" w:cstheme="minorHAnsi"/>
                <w:sz w:val="18"/>
                <w:szCs w:val="18"/>
              </w:rPr>
            </w:pPr>
          </w:p>
        </w:tc>
        <w:tc>
          <w:tcPr>
            <w:tcW w:w="1440" w:type="dxa"/>
            <w:vMerge/>
            <w:tcBorders>
              <w:left w:val="single" w:sz="4" w:space="0" w:color="auto"/>
              <w:right w:val="single" w:sz="4" w:space="0" w:color="auto"/>
            </w:tcBorders>
            <w:shd w:val="clear" w:color="auto" w:fill="auto"/>
            <w:vAlign w:val="center"/>
          </w:tcPr>
          <w:p w14:paraId="0FD53857" w14:textId="77777777" w:rsidR="00FE5D1D" w:rsidRPr="004870C7" w:rsidRDefault="00FE5D1D" w:rsidP="00FE5D1D">
            <w:pPr>
              <w:rPr>
                <w:rFonts w:asciiTheme="minorHAnsi" w:hAnsiTheme="minorHAnsi" w:cstheme="minorHAnsi"/>
                <w:b/>
                <w:bCs/>
                <w:sz w:val="18"/>
                <w:szCs w:val="18"/>
              </w:rPr>
            </w:pPr>
          </w:p>
        </w:tc>
        <w:tc>
          <w:tcPr>
            <w:tcW w:w="915" w:type="dxa"/>
            <w:tcBorders>
              <w:top w:val="double" w:sz="4" w:space="0" w:color="auto"/>
              <w:left w:val="single" w:sz="4" w:space="0" w:color="auto"/>
              <w:bottom w:val="double" w:sz="4" w:space="0" w:color="auto"/>
              <w:right w:val="single" w:sz="4" w:space="0" w:color="auto"/>
            </w:tcBorders>
            <w:shd w:val="clear" w:color="auto" w:fill="auto"/>
            <w:vAlign w:val="center"/>
          </w:tcPr>
          <w:p w14:paraId="01DF2E09" w14:textId="77777777" w:rsidR="00FE5D1D" w:rsidRPr="004870C7" w:rsidRDefault="00FE5D1D" w:rsidP="00FE5D1D">
            <w:pP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vAlign w:val="center"/>
          </w:tcPr>
          <w:p w14:paraId="69F5CD3C" w14:textId="77777777" w:rsidR="00FE5D1D" w:rsidRPr="004870C7" w:rsidRDefault="00FE5D1D" w:rsidP="00FE5D1D">
            <w:pPr>
              <w:rPr>
                <w:rFonts w:asciiTheme="minorHAnsi" w:hAnsiTheme="minorHAnsi" w:cstheme="minorHAnsi"/>
                <w:b/>
                <w:bCs/>
                <w:sz w:val="18"/>
                <w:szCs w:val="18"/>
              </w:rPr>
            </w:pPr>
          </w:p>
        </w:tc>
        <w:tc>
          <w:tcPr>
            <w:tcW w:w="106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5CF58F5" w14:textId="77777777" w:rsidR="00FE5D1D" w:rsidRPr="004870C7" w:rsidRDefault="00FE5D1D" w:rsidP="00FE5D1D">
            <w:pPr>
              <w:jc w:val="center"/>
              <w:rPr>
                <w:rFonts w:asciiTheme="minorHAnsi" w:hAnsiTheme="minorHAnsi" w:cstheme="minorHAnsi"/>
                <w:sz w:val="18"/>
                <w:szCs w:val="18"/>
              </w:rPr>
            </w:pPr>
          </w:p>
        </w:tc>
        <w:tc>
          <w:tcPr>
            <w:tcW w:w="1620" w:type="dxa"/>
            <w:tcBorders>
              <w:top w:val="double" w:sz="4" w:space="0" w:color="auto"/>
              <w:left w:val="single" w:sz="4" w:space="0" w:color="auto"/>
              <w:bottom w:val="double" w:sz="4" w:space="0" w:color="auto"/>
              <w:right w:val="single" w:sz="4" w:space="0" w:color="auto"/>
            </w:tcBorders>
            <w:shd w:val="clear" w:color="auto" w:fill="auto"/>
            <w:vAlign w:val="center"/>
          </w:tcPr>
          <w:p w14:paraId="4E947789" w14:textId="77777777" w:rsidR="00FE5D1D" w:rsidRPr="004870C7" w:rsidRDefault="00FE5D1D" w:rsidP="00FE5D1D">
            <w:pPr>
              <w:rPr>
                <w:rFonts w:asciiTheme="minorHAnsi" w:hAnsiTheme="minorHAnsi" w:cstheme="minorHAnsi"/>
                <w:b/>
                <w:bCs/>
                <w:sz w:val="18"/>
                <w:szCs w:val="18"/>
              </w:rPr>
            </w:pPr>
            <w:r w:rsidRPr="004870C7">
              <w:rPr>
                <w:rFonts w:asciiTheme="minorHAnsi" w:hAnsiTheme="minorHAnsi" w:cstheme="minorHAnsi"/>
                <w:b/>
                <w:bCs/>
                <w:sz w:val="18"/>
                <w:szCs w:val="18"/>
              </w:rPr>
              <w:t>Total Management</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0BA9604" w14:textId="401D2360"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10</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119E9BB" w14:textId="3B416D95"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10</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A2848FB" w14:textId="1156D108"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10</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68498CE" w14:textId="2232A233"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10</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vAlign w:val="center"/>
          </w:tcPr>
          <w:p w14:paraId="37E6F10D" w14:textId="1DA62D49"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7</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vAlign w:val="center"/>
          </w:tcPr>
          <w:p w14:paraId="31BA4DE0" w14:textId="4070E0AB" w:rsidR="00FE5D1D" w:rsidRPr="004870C7" w:rsidRDefault="00FE5D1D" w:rsidP="00FE5D1D">
            <w:pPr>
              <w:jc w:val="center"/>
              <w:rPr>
                <w:rFonts w:asciiTheme="minorHAnsi" w:hAnsiTheme="minorHAnsi" w:cstheme="minorHAnsi"/>
                <w:sz w:val="18"/>
                <w:szCs w:val="18"/>
              </w:rPr>
            </w:pPr>
            <w:r w:rsidRPr="004870C7">
              <w:rPr>
                <w:rFonts w:asciiTheme="minorHAnsi" w:hAnsiTheme="minorHAnsi" w:cstheme="minorHAnsi"/>
                <w:sz w:val="18"/>
                <w:szCs w:val="18"/>
              </w:rPr>
              <w:t>47</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76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34A4F29" w14:textId="2D8AE3BE" w:rsidR="00FE5D1D" w:rsidRPr="004870C7" w:rsidRDefault="00FE5D1D" w:rsidP="00FE5D1D">
            <w:pPr>
              <w:jc w:val="center"/>
              <w:rPr>
                <w:rFonts w:asciiTheme="minorHAnsi" w:hAnsiTheme="minorHAnsi" w:cstheme="minorHAnsi"/>
                <w:sz w:val="18"/>
                <w:szCs w:val="18"/>
              </w:rPr>
            </w:pPr>
          </w:p>
        </w:tc>
      </w:tr>
      <w:tr w:rsidR="00FE5D1D" w:rsidRPr="004870C7" w14:paraId="450CED2C" w14:textId="77777777" w:rsidTr="00956A5F">
        <w:trPr>
          <w:cantSplit/>
        </w:trPr>
        <w:tc>
          <w:tcPr>
            <w:tcW w:w="1936" w:type="dxa"/>
            <w:tcBorders>
              <w:top w:val="single" w:sz="4" w:space="0" w:color="auto"/>
              <w:left w:val="double" w:sz="4" w:space="0" w:color="auto"/>
              <w:bottom w:val="double" w:sz="4" w:space="0" w:color="auto"/>
            </w:tcBorders>
            <w:shd w:val="clear" w:color="auto" w:fill="auto"/>
            <w:noWrap/>
            <w:vAlign w:val="center"/>
          </w:tcPr>
          <w:p w14:paraId="237D1FB3" w14:textId="77777777" w:rsidR="00FE5D1D" w:rsidRPr="004870C7" w:rsidRDefault="00FE5D1D" w:rsidP="00FE5D1D">
            <w:pPr>
              <w:rPr>
                <w:rFonts w:asciiTheme="minorHAnsi" w:hAnsiTheme="minorHAnsi" w:cstheme="minorHAnsi"/>
                <w:sz w:val="18"/>
                <w:szCs w:val="18"/>
              </w:rPr>
            </w:pPr>
          </w:p>
        </w:tc>
        <w:tc>
          <w:tcPr>
            <w:tcW w:w="1440" w:type="dxa"/>
            <w:tcBorders>
              <w:top w:val="single" w:sz="4" w:space="0" w:color="auto"/>
              <w:bottom w:val="double" w:sz="4" w:space="0" w:color="auto"/>
            </w:tcBorders>
            <w:shd w:val="clear" w:color="auto" w:fill="auto"/>
            <w:vAlign w:val="center"/>
          </w:tcPr>
          <w:p w14:paraId="1235D9FE" w14:textId="77777777" w:rsidR="00FE5D1D" w:rsidRPr="004870C7" w:rsidRDefault="00FE5D1D" w:rsidP="00FE5D1D">
            <w:pPr>
              <w:rPr>
                <w:rFonts w:asciiTheme="minorHAnsi" w:hAnsiTheme="minorHAnsi" w:cstheme="minorHAnsi"/>
                <w:b/>
                <w:bCs/>
                <w:sz w:val="18"/>
                <w:szCs w:val="18"/>
              </w:rPr>
            </w:pPr>
          </w:p>
        </w:tc>
        <w:tc>
          <w:tcPr>
            <w:tcW w:w="915" w:type="dxa"/>
            <w:tcBorders>
              <w:top w:val="double" w:sz="4" w:space="0" w:color="auto"/>
              <w:bottom w:val="double" w:sz="4" w:space="0" w:color="auto"/>
            </w:tcBorders>
            <w:shd w:val="clear" w:color="auto" w:fill="auto"/>
            <w:vAlign w:val="center"/>
          </w:tcPr>
          <w:p w14:paraId="36F88F16" w14:textId="77777777" w:rsidR="00FE5D1D" w:rsidRPr="004870C7" w:rsidRDefault="00FE5D1D" w:rsidP="00FE5D1D">
            <w:pPr>
              <w:rPr>
                <w:rFonts w:asciiTheme="minorHAnsi" w:hAnsiTheme="minorHAnsi" w:cstheme="minorHAnsi"/>
                <w:b/>
                <w:bCs/>
                <w:sz w:val="18"/>
                <w:szCs w:val="18"/>
              </w:rPr>
            </w:pPr>
          </w:p>
        </w:tc>
        <w:tc>
          <w:tcPr>
            <w:tcW w:w="1065" w:type="dxa"/>
            <w:tcBorders>
              <w:top w:val="double" w:sz="4" w:space="0" w:color="auto"/>
              <w:bottom w:val="double" w:sz="4" w:space="0" w:color="auto"/>
            </w:tcBorders>
            <w:vAlign w:val="center"/>
          </w:tcPr>
          <w:p w14:paraId="7896001A" w14:textId="77777777" w:rsidR="00FE5D1D" w:rsidRPr="004870C7" w:rsidRDefault="00FE5D1D" w:rsidP="00FE5D1D">
            <w:pPr>
              <w:rPr>
                <w:rFonts w:asciiTheme="minorHAnsi" w:hAnsiTheme="minorHAnsi" w:cstheme="minorHAnsi"/>
                <w:b/>
                <w:bCs/>
                <w:sz w:val="18"/>
                <w:szCs w:val="18"/>
              </w:rPr>
            </w:pPr>
          </w:p>
        </w:tc>
        <w:tc>
          <w:tcPr>
            <w:tcW w:w="2685" w:type="dxa"/>
            <w:gridSpan w:val="2"/>
            <w:tcBorders>
              <w:top w:val="double" w:sz="4" w:space="0" w:color="auto"/>
              <w:bottom w:val="double" w:sz="4" w:space="0" w:color="auto"/>
              <w:right w:val="single" w:sz="4" w:space="0" w:color="auto"/>
            </w:tcBorders>
            <w:shd w:val="clear" w:color="auto" w:fill="auto"/>
            <w:noWrap/>
            <w:vAlign w:val="center"/>
          </w:tcPr>
          <w:p w14:paraId="2D8EDFBB" w14:textId="77777777" w:rsidR="00FE5D1D" w:rsidRPr="004870C7" w:rsidRDefault="00FE5D1D" w:rsidP="00FE5D1D">
            <w:pPr>
              <w:jc w:val="right"/>
              <w:rPr>
                <w:rFonts w:asciiTheme="minorHAnsi" w:hAnsiTheme="minorHAnsi" w:cstheme="minorHAnsi"/>
                <w:b/>
                <w:bCs/>
                <w:sz w:val="18"/>
                <w:szCs w:val="18"/>
              </w:rPr>
            </w:pPr>
            <w:r w:rsidRPr="004870C7">
              <w:rPr>
                <w:rFonts w:asciiTheme="minorHAnsi" w:hAnsiTheme="minorHAnsi" w:cstheme="minorHAnsi"/>
                <w:b/>
                <w:bCs/>
                <w:sz w:val="18"/>
                <w:szCs w:val="18"/>
              </w:rPr>
              <w:t>PROJECT TOTAL</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D29CD31" w14:textId="3D017E63" w:rsidR="00FE5D1D" w:rsidRPr="004870C7" w:rsidRDefault="00BB4E2B"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4</w:t>
            </w:r>
            <w:r w:rsidR="003537BA">
              <w:rPr>
                <w:rFonts w:asciiTheme="minorHAnsi" w:hAnsiTheme="minorHAnsi" w:cstheme="minorHAnsi"/>
                <w:b/>
                <w:bCs/>
                <w:sz w:val="18"/>
                <w:szCs w:val="18"/>
              </w:rPr>
              <w:t>5</w:t>
            </w:r>
            <w:r w:rsidRPr="004870C7">
              <w:rPr>
                <w:rFonts w:asciiTheme="minorHAnsi" w:hAnsiTheme="minorHAnsi" w:cstheme="minorHAnsi"/>
                <w:b/>
                <w:bCs/>
                <w:sz w:val="18"/>
                <w:szCs w:val="18"/>
              </w:rPr>
              <w:t>,000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7B1BCD9" w14:textId="3B9E56A6" w:rsidR="00FE5D1D" w:rsidRPr="004870C7" w:rsidRDefault="00DE51CC"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18</w:t>
            </w:r>
            <w:r w:rsidR="003537BA">
              <w:rPr>
                <w:rFonts w:asciiTheme="minorHAnsi" w:hAnsiTheme="minorHAnsi" w:cstheme="minorHAnsi"/>
                <w:b/>
                <w:bCs/>
                <w:sz w:val="18"/>
                <w:szCs w:val="18"/>
              </w:rPr>
              <w:t>5</w:t>
            </w:r>
            <w:r w:rsidRPr="004870C7">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8A6A7D2" w14:textId="31536337" w:rsidR="00FE5D1D" w:rsidRPr="004870C7" w:rsidRDefault="000F285D"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18</w:t>
            </w:r>
            <w:r w:rsidR="003537BA">
              <w:rPr>
                <w:rFonts w:asciiTheme="minorHAnsi" w:hAnsiTheme="minorHAnsi" w:cstheme="minorHAnsi"/>
                <w:b/>
                <w:bCs/>
                <w:sz w:val="18"/>
                <w:szCs w:val="18"/>
              </w:rPr>
              <w:t>2</w:t>
            </w:r>
            <w:r w:rsidRPr="004870C7">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C811F12" w14:textId="403A4255" w:rsidR="00FE5D1D" w:rsidRPr="004870C7" w:rsidRDefault="003537BA" w:rsidP="00FE5D1D">
            <w:pPr>
              <w:jc w:val="center"/>
              <w:rPr>
                <w:rFonts w:asciiTheme="minorHAnsi" w:hAnsiTheme="minorHAnsi" w:cstheme="minorHAnsi"/>
                <w:b/>
                <w:bCs/>
                <w:sz w:val="18"/>
                <w:szCs w:val="18"/>
              </w:rPr>
            </w:pPr>
            <w:r>
              <w:rPr>
                <w:rFonts w:asciiTheme="minorHAnsi" w:hAnsiTheme="minorHAnsi" w:cstheme="minorHAnsi"/>
                <w:b/>
                <w:bCs/>
                <w:sz w:val="18"/>
                <w:szCs w:val="18"/>
              </w:rPr>
              <w:t>88</w:t>
            </w:r>
            <w:r w:rsidR="004603BB" w:rsidRPr="004870C7">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6091D213" w14:textId="32A7F2F7" w:rsidR="00FE5D1D" w:rsidRPr="004870C7" w:rsidRDefault="004603BB"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1</w:t>
            </w:r>
            <w:r w:rsidR="003537BA">
              <w:rPr>
                <w:rFonts w:asciiTheme="minorHAnsi" w:hAnsiTheme="minorHAnsi" w:cstheme="minorHAnsi"/>
                <w:b/>
                <w:bCs/>
                <w:sz w:val="18"/>
                <w:szCs w:val="18"/>
              </w:rPr>
              <w:t>7</w:t>
            </w:r>
            <w:r w:rsidRPr="004870C7">
              <w:rPr>
                <w:rFonts w:asciiTheme="minorHAnsi" w:hAnsiTheme="minorHAnsi" w:cstheme="minorHAnsi"/>
                <w:b/>
                <w:bCs/>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tcPr>
          <w:p w14:paraId="55350941" w14:textId="31EA3AEA" w:rsidR="00FE5D1D" w:rsidRPr="004870C7" w:rsidRDefault="00601F6D" w:rsidP="00FE5D1D">
            <w:pPr>
              <w:jc w:val="center"/>
              <w:rPr>
                <w:rFonts w:asciiTheme="minorHAnsi" w:hAnsiTheme="minorHAnsi" w:cstheme="minorHAnsi"/>
                <w:b/>
                <w:bCs/>
                <w:sz w:val="18"/>
                <w:szCs w:val="18"/>
              </w:rPr>
            </w:pPr>
            <w:r w:rsidRPr="004870C7">
              <w:rPr>
                <w:rFonts w:asciiTheme="minorHAnsi" w:hAnsiTheme="minorHAnsi" w:cstheme="minorHAnsi"/>
                <w:b/>
                <w:bCs/>
                <w:sz w:val="18"/>
                <w:szCs w:val="18"/>
              </w:rPr>
              <w:t>517,000</w:t>
            </w:r>
          </w:p>
        </w:tc>
        <w:tc>
          <w:tcPr>
            <w:tcW w:w="76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EB0E118" w14:textId="12B267F1" w:rsidR="00FE5D1D" w:rsidRPr="004870C7" w:rsidRDefault="00FE5D1D" w:rsidP="00FE5D1D">
            <w:pPr>
              <w:jc w:val="center"/>
              <w:rPr>
                <w:rFonts w:asciiTheme="minorHAnsi" w:hAnsiTheme="minorHAnsi" w:cstheme="minorHAnsi"/>
                <w:sz w:val="18"/>
                <w:szCs w:val="18"/>
              </w:rPr>
            </w:pPr>
          </w:p>
        </w:tc>
      </w:tr>
    </w:tbl>
    <w:p w14:paraId="1BF39671" w14:textId="77777777" w:rsidR="00470E9A" w:rsidRPr="004870C7" w:rsidRDefault="00470E9A" w:rsidP="00470E9A">
      <w:pPr>
        <w:rPr>
          <w:rFonts w:asciiTheme="minorHAnsi" w:hAnsiTheme="minorHAnsi" w:cstheme="minorHAnsi"/>
          <w:sz w:val="18"/>
          <w:szCs w:val="18"/>
        </w:rPr>
      </w:pPr>
    </w:p>
    <w:p w14:paraId="73506789" w14:textId="77777777" w:rsidR="00C9580A" w:rsidRPr="004870C7" w:rsidRDefault="00C9580A" w:rsidP="00470E9A">
      <w:pPr>
        <w:rPr>
          <w:rFonts w:asciiTheme="minorHAnsi" w:hAnsiTheme="minorHAnsi" w:cstheme="minorHAnsi"/>
          <w:sz w:val="18"/>
          <w:szCs w:val="18"/>
        </w:rPr>
      </w:pPr>
    </w:p>
    <w:tbl>
      <w:tblPr>
        <w:tblW w:w="13500" w:type="dxa"/>
        <w:tblInd w:w="-72" w:type="dxa"/>
        <w:tblLayout w:type="fixed"/>
        <w:tblLook w:val="0000" w:firstRow="0" w:lastRow="0" w:firstColumn="0" w:lastColumn="0" w:noHBand="0" w:noVBand="0"/>
      </w:tblPr>
      <w:tblGrid>
        <w:gridCol w:w="1440"/>
        <w:gridCol w:w="900"/>
        <w:gridCol w:w="15"/>
        <w:gridCol w:w="885"/>
        <w:gridCol w:w="30"/>
        <w:gridCol w:w="240"/>
        <w:gridCol w:w="810"/>
        <w:gridCol w:w="1620"/>
        <w:gridCol w:w="1080"/>
        <w:gridCol w:w="1050"/>
        <w:gridCol w:w="30"/>
        <w:gridCol w:w="1050"/>
        <w:gridCol w:w="30"/>
        <w:gridCol w:w="1050"/>
        <w:gridCol w:w="30"/>
        <w:gridCol w:w="1050"/>
        <w:gridCol w:w="30"/>
        <w:gridCol w:w="1050"/>
        <w:gridCol w:w="30"/>
        <w:gridCol w:w="1050"/>
        <w:gridCol w:w="30"/>
      </w:tblGrid>
      <w:tr w:rsidR="00811B42" w:rsidRPr="004870C7" w14:paraId="2DF9CC3F" w14:textId="77777777" w:rsidTr="00811B42">
        <w:trPr>
          <w:cantSplit/>
        </w:trPr>
        <w:tc>
          <w:tcPr>
            <w:tcW w:w="1440" w:type="dxa"/>
            <w:shd w:val="clear" w:color="auto" w:fill="auto"/>
            <w:noWrap/>
            <w:vAlign w:val="bottom"/>
          </w:tcPr>
          <w:p w14:paraId="0C997099" w14:textId="557AFF72" w:rsidR="00811B42" w:rsidRPr="004870C7" w:rsidRDefault="00811B42" w:rsidP="00E54168">
            <w:pPr>
              <w:rPr>
                <w:rFonts w:asciiTheme="minorHAnsi" w:hAnsiTheme="minorHAnsi" w:cstheme="minorHAnsi"/>
                <w:b/>
                <w:bCs/>
                <w:sz w:val="18"/>
                <w:szCs w:val="18"/>
              </w:rPr>
            </w:pPr>
            <w:r w:rsidRPr="004870C7">
              <w:rPr>
                <w:rFonts w:asciiTheme="minorHAnsi" w:hAnsiTheme="minorHAnsi" w:cstheme="minorHAnsi"/>
                <w:b/>
                <w:sz w:val="18"/>
                <w:szCs w:val="18"/>
              </w:rPr>
              <w:t>Summary of</w:t>
            </w:r>
            <w:r w:rsidR="00095691">
              <w:rPr>
                <w:rFonts w:asciiTheme="minorHAnsi" w:hAnsiTheme="minorHAnsi" w:cstheme="minorHAnsi"/>
                <w:b/>
                <w:sz w:val="18"/>
                <w:szCs w:val="18"/>
              </w:rPr>
              <w:t xml:space="preserve"> </w:t>
            </w:r>
            <w:r w:rsidRPr="004870C7">
              <w:rPr>
                <w:rFonts w:asciiTheme="minorHAnsi" w:hAnsiTheme="minorHAnsi" w:cstheme="minorHAnsi"/>
                <w:b/>
                <w:sz w:val="18"/>
                <w:szCs w:val="18"/>
              </w:rPr>
              <w:t>Funds:</w:t>
            </w:r>
            <w:r w:rsidRPr="004870C7">
              <w:rPr>
                <w:rStyle w:val="FootnoteReference"/>
                <w:rFonts w:asciiTheme="minorHAnsi" w:hAnsiTheme="minorHAnsi" w:cstheme="minorHAnsi"/>
                <w:b/>
                <w:bCs/>
                <w:szCs w:val="18"/>
              </w:rPr>
              <w:t xml:space="preserve"> </w:t>
            </w:r>
          </w:p>
        </w:tc>
        <w:tc>
          <w:tcPr>
            <w:tcW w:w="900" w:type="dxa"/>
          </w:tcPr>
          <w:p w14:paraId="75815926" w14:textId="77777777" w:rsidR="00811B42" w:rsidRPr="004870C7" w:rsidRDefault="00811B42" w:rsidP="00E54168">
            <w:pPr>
              <w:rPr>
                <w:rFonts w:asciiTheme="minorHAnsi" w:hAnsiTheme="minorHAnsi" w:cstheme="minorHAnsi"/>
                <w:b/>
                <w:bCs/>
                <w:sz w:val="18"/>
                <w:szCs w:val="18"/>
              </w:rPr>
            </w:pPr>
          </w:p>
        </w:tc>
        <w:tc>
          <w:tcPr>
            <w:tcW w:w="900" w:type="dxa"/>
            <w:gridSpan w:val="2"/>
            <w:shd w:val="clear" w:color="auto" w:fill="auto"/>
            <w:vAlign w:val="bottom"/>
          </w:tcPr>
          <w:p w14:paraId="7E45F027" w14:textId="77777777" w:rsidR="00811B42" w:rsidRPr="004870C7" w:rsidRDefault="00811B42" w:rsidP="00E54168">
            <w:pPr>
              <w:rPr>
                <w:rFonts w:asciiTheme="minorHAnsi" w:hAnsiTheme="minorHAnsi" w:cstheme="minorHAnsi"/>
                <w:b/>
                <w:bCs/>
                <w:sz w:val="18"/>
                <w:szCs w:val="18"/>
              </w:rPr>
            </w:pPr>
          </w:p>
        </w:tc>
        <w:tc>
          <w:tcPr>
            <w:tcW w:w="1080" w:type="dxa"/>
            <w:gridSpan w:val="3"/>
            <w:shd w:val="clear" w:color="auto" w:fill="auto"/>
            <w:vAlign w:val="bottom"/>
          </w:tcPr>
          <w:p w14:paraId="5C1AF0FE" w14:textId="77777777" w:rsidR="00811B42" w:rsidRPr="004870C7" w:rsidRDefault="00811B42" w:rsidP="00E54168">
            <w:pPr>
              <w:rPr>
                <w:rFonts w:asciiTheme="minorHAnsi" w:hAnsiTheme="minorHAnsi" w:cstheme="minorHAnsi"/>
                <w:b/>
                <w:bCs/>
                <w:sz w:val="18"/>
                <w:szCs w:val="18"/>
              </w:rPr>
            </w:pPr>
          </w:p>
        </w:tc>
        <w:tc>
          <w:tcPr>
            <w:tcW w:w="1620" w:type="dxa"/>
            <w:shd w:val="clear" w:color="auto" w:fill="auto"/>
            <w:vAlign w:val="bottom"/>
          </w:tcPr>
          <w:p w14:paraId="109C1E9D" w14:textId="77777777" w:rsidR="00811B42" w:rsidRPr="004870C7" w:rsidRDefault="00811B42" w:rsidP="00E54168">
            <w:pPr>
              <w:rPr>
                <w:rFonts w:asciiTheme="minorHAnsi" w:hAnsiTheme="minorHAnsi" w:cstheme="minorHAnsi"/>
                <w:b/>
                <w:bCs/>
                <w:sz w:val="18"/>
                <w:szCs w:val="18"/>
              </w:rPr>
            </w:pPr>
          </w:p>
        </w:tc>
        <w:tc>
          <w:tcPr>
            <w:tcW w:w="1080" w:type="dxa"/>
          </w:tcPr>
          <w:p w14:paraId="504F1472" w14:textId="77777777" w:rsidR="00811B42" w:rsidRPr="004870C7" w:rsidRDefault="00811B42" w:rsidP="00E54168">
            <w:pPr>
              <w:rPr>
                <w:rFonts w:asciiTheme="minorHAnsi" w:hAnsiTheme="minorHAnsi" w:cstheme="minorHAnsi"/>
                <w:b/>
                <w:bCs/>
                <w:sz w:val="18"/>
                <w:szCs w:val="18"/>
              </w:rPr>
            </w:pPr>
          </w:p>
        </w:tc>
        <w:tc>
          <w:tcPr>
            <w:tcW w:w="1080" w:type="dxa"/>
            <w:gridSpan w:val="2"/>
            <w:shd w:val="clear" w:color="auto" w:fill="auto"/>
            <w:vAlign w:val="bottom"/>
          </w:tcPr>
          <w:p w14:paraId="04D04816" w14:textId="77777777" w:rsidR="00811B42" w:rsidRPr="004870C7" w:rsidRDefault="00811B42" w:rsidP="00E54168">
            <w:pPr>
              <w:rPr>
                <w:rFonts w:asciiTheme="minorHAnsi" w:hAnsiTheme="minorHAnsi" w:cstheme="minorHAnsi"/>
                <w:b/>
                <w:bCs/>
                <w:sz w:val="18"/>
                <w:szCs w:val="18"/>
              </w:rPr>
            </w:pPr>
          </w:p>
        </w:tc>
        <w:tc>
          <w:tcPr>
            <w:tcW w:w="1080" w:type="dxa"/>
            <w:gridSpan w:val="2"/>
            <w:shd w:val="clear" w:color="auto" w:fill="auto"/>
            <w:vAlign w:val="bottom"/>
          </w:tcPr>
          <w:p w14:paraId="456A3255" w14:textId="77777777" w:rsidR="00811B42" w:rsidRPr="004870C7" w:rsidRDefault="00811B42" w:rsidP="00E54168">
            <w:pPr>
              <w:rPr>
                <w:rFonts w:asciiTheme="minorHAnsi" w:hAnsiTheme="minorHAnsi" w:cstheme="minorHAnsi"/>
                <w:b/>
                <w:bCs/>
                <w:sz w:val="18"/>
                <w:szCs w:val="18"/>
              </w:rPr>
            </w:pPr>
          </w:p>
        </w:tc>
        <w:tc>
          <w:tcPr>
            <w:tcW w:w="1080" w:type="dxa"/>
            <w:gridSpan w:val="2"/>
            <w:shd w:val="clear" w:color="auto" w:fill="auto"/>
            <w:vAlign w:val="bottom"/>
          </w:tcPr>
          <w:p w14:paraId="1619C584" w14:textId="77777777" w:rsidR="00811B42" w:rsidRPr="004870C7" w:rsidRDefault="00811B42" w:rsidP="00E54168">
            <w:pPr>
              <w:rPr>
                <w:rFonts w:asciiTheme="minorHAnsi" w:hAnsiTheme="minorHAnsi" w:cstheme="minorHAnsi"/>
                <w:b/>
                <w:bCs/>
                <w:sz w:val="18"/>
                <w:szCs w:val="18"/>
              </w:rPr>
            </w:pPr>
          </w:p>
        </w:tc>
        <w:tc>
          <w:tcPr>
            <w:tcW w:w="1080" w:type="dxa"/>
            <w:gridSpan w:val="2"/>
          </w:tcPr>
          <w:p w14:paraId="71720777" w14:textId="77777777" w:rsidR="00811B42" w:rsidRPr="004870C7" w:rsidRDefault="00811B42" w:rsidP="00E54168">
            <w:pPr>
              <w:rPr>
                <w:rFonts w:asciiTheme="minorHAnsi" w:hAnsiTheme="minorHAnsi" w:cstheme="minorHAnsi"/>
                <w:b/>
                <w:bCs/>
                <w:sz w:val="18"/>
                <w:szCs w:val="18"/>
              </w:rPr>
            </w:pPr>
          </w:p>
        </w:tc>
        <w:tc>
          <w:tcPr>
            <w:tcW w:w="1080" w:type="dxa"/>
            <w:gridSpan w:val="2"/>
            <w:shd w:val="clear" w:color="auto" w:fill="auto"/>
            <w:vAlign w:val="bottom"/>
          </w:tcPr>
          <w:p w14:paraId="75BB1C3C" w14:textId="54FFB93C" w:rsidR="00811B42" w:rsidRPr="004870C7" w:rsidRDefault="00811B42" w:rsidP="00E54168">
            <w:pPr>
              <w:rPr>
                <w:rFonts w:asciiTheme="minorHAnsi" w:hAnsiTheme="minorHAnsi" w:cstheme="minorHAnsi"/>
                <w:b/>
                <w:bCs/>
                <w:sz w:val="18"/>
                <w:szCs w:val="18"/>
              </w:rPr>
            </w:pPr>
          </w:p>
        </w:tc>
        <w:tc>
          <w:tcPr>
            <w:tcW w:w="1080" w:type="dxa"/>
            <w:gridSpan w:val="2"/>
            <w:shd w:val="clear" w:color="auto" w:fill="auto"/>
            <w:vAlign w:val="bottom"/>
          </w:tcPr>
          <w:p w14:paraId="26372E59" w14:textId="77777777" w:rsidR="00811B42" w:rsidRPr="004870C7" w:rsidRDefault="00811B42" w:rsidP="00E54168">
            <w:pPr>
              <w:rPr>
                <w:rFonts w:asciiTheme="minorHAnsi" w:hAnsiTheme="minorHAnsi" w:cstheme="minorHAnsi"/>
                <w:b/>
                <w:bCs/>
                <w:sz w:val="18"/>
                <w:szCs w:val="18"/>
              </w:rPr>
            </w:pPr>
          </w:p>
        </w:tc>
      </w:tr>
      <w:tr w:rsidR="00811B42" w:rsidRPr="004870C7" w14:paraId="15EA6008" w14:textId="77777777" w:rsidTr="00811B42">
        <w:trPr>
          <w:gridAfter w:val="1"/>
          <w:wAfter w:w="30" w:type="dxa"/>
          <w:cantSplit/>
        </w:trPr>
        <w:tc>
          <w:tcPr>
            <w:tcW w:w="1440" w:type="dxa"/>
            <w:shd w:val="clear" w:color="auto" w:fill="auto"/>
            <w:noWrap/>
            <w:vAlign w:val="bottom"/>
          </w:tcPr>
          <w:p w14:paraId="631D6467" w14:textId="77777777" w:rsidR="00811B42" w:rsidRPr="004870C7" w:rsidRDefault="00811B42" w:rsidP="00E54168">
            <w:pPr>
              <w:rPr>
                <w:rFonts w:asciiTheme="minorHAnsi" w:hAnsiTheme="minorHAnsi" w:cstheme="minorHAnsi"/>
                <w:sz w:val="18"/>
                <w:szCs w:val="18"/>
              </w:rPr>
            </w:pPr>
          </w:p>
        </w:tc>
        <w:tc>
          <w:tcPr>
            <w:tcW w:w="915" w:type="dxa"/>
            <w:gridSpan w:val="2"/>
          </w:tcPr>
          <w:p w14:paraId="79A1A340" w14:textId="77777777" w:rsidR="00811B42" w:rsidRPr="004870C7" w:rsidRDefault="00811B42" w:rsidP="00E54168">
            <w:pPr>
              <w:rPr>
                <w:rFonts w:asciiTheme="minorHAnsi" w:hAnsiTheme="minorHAnsi" w:cstheme="minorHAnsi"/>
                <w:sz w:val="18"/>
                <w:szCs w:val="18"/>
              </w:rPr>
            </w:pPr>
          </w:p>
        </w:tc>
        <w:tc>
          <w:tcPr>
            <w:tcW w:w="915" w:type="dxa"/>
            <w:gridSpan w:val="2"/>
            <w:shd w:val="clear" w:color="auto" w:fill="auto"/>
            <w:noWrap/>
            <w:vAlign w:val="bottom"/>
          </w:tcPr>
          <w:p w14:paraId="4900B44D" w14:textId="77777777" w:rsidR="00811B42" w:rsidRPr="004870C7" w:rsidRDefault="00811B42" w:rsidP="00E54168">
            <w:pPr>
              <w:rPr>
                <w:rFonts w:asciiTheme="minorHAnsi" w:hAnsiTheme="minorHAnsi" w:cstheme="minorHAnsi"/>
                <w:sz w:val="18"/>
                <w:szCs w:val="18"/>
              </w:rPr>
            </w:pPr>
          </w:p>
        </w:tc>
        <w:tc>
          <w:tcPr>
            <w:tcW w:w="240" w:type="dxa"/>
            <w:tcBorders>
              <w:right w:val="single" w:sz="4" w:space="0" w:color="auto"/>
            </w:tcBorders>
            <w:shd w:val="clear" w:color="auto" w:fill="auto"/>
            <w:noWrap/>
            <w:vAlign w:val="bottom"/>
          </w:tcPr>
          <w:p w14:paraId="3B11D719" w14:textId="77777777" w:rsidR="00811B42" w:rsidRPr="004870C7" w:rsidRDefault="00811B42" w:rsidP="00E54168">
            <w:pPr>
              <w:rPr>
                <w:rFonts w:asciiTheme="minorHAnsi" w:hAnsiTheme="minorHAnsi" w:cstheme="minorHAnsi"/>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75ADDA" w14:textId="77777777" w:rsidR="00811B42" w:rsidRPr="004870C7" w:rsidRDefault="00811B42" w:rsidP="00E54168">
            <w:pPr>
              <w:jc w:val="center"/>
              <w:rPr>
                <w:rFonts w:asciiTheme="minorHAnsi" w:hAnsiTheme="minorHAnsi" w:cstheme="minorHAnsi"/>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B60E1"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Amount</w:t>
            </w:r>
          </w:p>
          <w:p w14:paraId="72E08C06" w14:textId="039A0D3D"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Year 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68BEC9"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Amount</w:t>
            </w:r>
          </w:p>
          <w:p w14:paraId="6C6C018E"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Year 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848AF1"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Amount</w:t>
            </w:r>
          </w:p>
          <w:p w14:paraId="25D2F7D3"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Year 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7A1CF1"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Amount</w:t>
            </w:r>
          </w:p>
          <w:p w14:paraId="4CB5015F" w14:textId="7777777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Year 4</w:t>
            </w:r>
          </w:p>
        </w:tc>
        <w:tc>
          <w:tcPr>
            <w:tcW w:w="1080" w:type="dxa"/>
            <w:gridSpan w:val="2"/>
            <w:tcBorders>
              <w:top w:val="single" w:sz="4" w:space="0" w:color="auto"/>
              <w:left w:val="single" w:sz="4" w:space="0" w:color="auto"/>
              <w:bottom w:val="single" w:sz="4" w:space="0" w:color="auto"/>
              <w:right w:val="single" w:sz="4" w:space="0" w:color="auto"/>
            </w:tcBorders>
          </w:tcPr>
          <w:p w14:paraId="048A76BF" w14:textId="77777777" w:rsidR="00811B42" w:rsidRPr="004870C7" w:rsidRDefault="00811B42" w:rsidP="00811B42">
            <w:pPr>
              <w:jc w:val="center"/>
              <w:rPr>
                <w:rFonts w:asciiTheme="minorHAnsi" w:hAnsiTheme="minorHAnsi" w:cstheme="minorHAnsi"/>
                <w:sz w:val="18"/>
                <w:szCs w:val="18"/>
              </w:rPr>
            </w:pPr>
            <w:r w:rsidRPr="004870C7">
              <w:rPr>
                <w:rFonts w:asciiTheme="minorHAnsi" w:hAnsiTheme="minorHAnsi" w:cstheme="minorHAnsi"/>
                <w:sz w:val="18"/>
                <w:szCs w:val="18"/>
              </w:rPr>
              <w:t>Amount</w:t>
            </w:r>
          </w:p>
          <w:p w14:paraId="7F574578" w14:textId="63915102" w:rsidR="00811B42" w:rsidRPr="004870C7" w:rsidRDefault="00811B42" w:rsidP="00811B42">
            <w:pPr>
              <w:jc w:val="center"/>
              <w:rPr>
                <w:rFonts w:asciiTheme="minorHAnsi" w:hAnsiTheme="minorHAnsi" w:cstheme="minorHAnsi"/>
                <w:sz w:val="18"/>
                <w:szCs w:val="18"/>
              </w:rPr>
            </w:pPr>
            <w:r w:rsidRPr="004870C7">
              <w:rPr>
                <w:rFonts w:asciiTheme="minorHAnsi" w:hAnsiTheme="minorHAnsi" w:cstheme="minorHAnsi"/>
                <w:sz w:val="18"/>
                <w:szCs w:val="18"/>
              </w:rPr>
              <w:t>Year 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027FB6" w14:textId="3E9543D0"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Total</w:t>
            </w:r>
          </w:p>
        </w:tc>
      </w:tr>
      <w:tr w:rsidR="00811B42" w:rsidRPr="004870C7" w14:paraId="505E5F2A" w14:textId="77777777" w:rsidTr="00956A5F">
        <w:trPr>
          <w:gridAfter w:val="1"/>
          <w:wAfter w:w="30" w:type="dxa"/>
          <w:cantSplit/>
        </w:trPr>
        <w:tc>
          <w:tcPr>
            <w:tcW w:w="1440" w:type="dxa"/>
            <w:shd w:val="clear" w:color="auto" w:fill="auto"/>
            <w:noWrap/>
            <w:vAlign w:val="bottom"/>
          </w:tcPr>
          <w:p w14:paraId="5B72D07F" w14:textId="77777777" w:rsidR="00811B42" w:rsidRPr="004870C7" w:rsidRDefault="00811B42" w:rsidP="00E54168">
            <w:pPr>
              <w:rPr>
                <w:rFonts w:asciiTheme="minorHAnsi" w:hAnsiTheme="minorHAnsi" w:cstheme="minorHAnsi"/>
                <w:sz w:val="18"/>
                <w:szCs w:val="18"/>
              </w:rPr>
            </w:pPr>
          </w:p>
        </w:tc>
        <w:tc>
          <w:tcPr>
            <w:tcW w:w="915" w:type="dxa"/>
            <w:gridSpan w:val="2"/>
          </w:tcPr>
          <w:p w14:paraId="5EB57DD0" w14:textId="77777777" w:rsidR="00811B42" w:rsidRPr="004870C7" w:rsidRDefault="00811B42" w:rsidP="00E54168">
            <w:pPr>
              <w:rPr>
                <w:rFonts w:asciiTheme="minorHAnsi" w:hAnsiTheme="minorHAnsi" w:cstheme="minorHAnsi"/>
                <w:sz w:val="18"/>
                <w:szCs w:val="18"/>
              </w:rPr>
            </w:pPr>
          </w:p>
        </w:tc>
        <w:tc>
          <w:tcPr>
            <w:tcW w:w="915" w:type="dxa"/>
            <w:gridSpan w:val="2"/>
            <w:shd w:val="clear" w:color="auto" w:fill="auto"/>
            <w:noWrap/>
            <w:vAlign w:val="bottom"/>
          </w:tcPr>
          <w:p w14:paraId="73A8810E" w14:textId="77777777" w:rsidR="00811B42" w:rsidRPr="004870C7" w:rsidRDefault="00811B42" w:rsidP="00E54168">
            <w:pPr>
              <w:rPr>
                <w:rFonts w:asciiTheme="minorHAnsi" w:hAnsiTheme="minorHAnsi" w:cstheme="minorHAnsi"/>
                <w:sz w:val="18"/>
                <w:szCs w:val="18"/>
              </w:rPr>
            </w:pPr>
          </w:p>
        </w:tc>
        <w:tc>
          <w:tcPr>
            <w:tcW w:w="240" w:type="dxa"/>
            <w:tcBorders>
              <w:right w:val="single" w:sz="4" w:space="0" w:color="auto"/>
            </w:tcBorders>
            <w:shd w:val="clear" w:color="auto" w:fill="auto"/>
            <w:noWrap/>
            <w:vAlign w:val="bottom"/>
          </w:tcPr>
          <w:p w14:paraId="226BF6E4" w14:textId="77777777" w:rsidR="00811B42" w:rsidRPr="004870C7" w:rsidRDefault="00811B42" w:rsidP="00E54168">
            <w:pPr>
              <w:rPr>
                <w:rFonts w:asciiTheme="minorHAnsi" w:hAnsiTheme="minorHAnsi" w:cstheme="minorHAnsi"/>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EB4599" w14:textId="2FA2C290" w:rsidR="00811B42" w:rsidRPr="004870C7" w:rsidRDefault="00811B42" w:rsidP="00E54168">
            <w:pPr>
              <w:jc w:val="right"/>
              <w:rPr>
                <w:rFonts w:asciiTheme="minorHAnsi" w:hAnsiTheme="minorHAnsi" w:cstheme="minorHAnsi"/>
                <w:sz w:val="18"/>
                <w:szCs w:val="18"/>
              </w:rPr>
            </w:pPr>
            <w:r w:rsidRPr="004870C7">
              <w:rPr>
                <w:rFonts w:asciiTheme="minorHAnsi" w:hAnsiTheme="minorHAnsi" w:cstheme="minorHAnsi"/>
                <w:b/>
                <w:bCs/>
                <w:sz w:val="18"/>
                <w:szCs w:val="18"/>
              </w:rPr>
              <w:t xml:space="preserve">GEF grant administered by UNDP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9BDF9" w14:textId="03229701"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4</w:t>
            </w:r>
            <w:r w:rsidR="00B75C05">
              <w:rPr>
                <w:rFonts w:asciiTheme="minorHAnsi" w:hAnsiTheme="minorHAnsi" w:cstheme="minorHAnsi"/>
                <w:sz w:val="18"/>
                <w:szCs w:val="18"/>
              </w:rPr>
              <w:t>5</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59C68F" w14:textId="51795307"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18</w:t>
            </w:r>
            <w:r w:rsidR="00B75C05">
              <w:rPr>
                <w:rFonts w:asciiTheme="minorHAnsi" w:hAnsiTheme="minorHAnsi" w:cstheme="minorHAnsi"/>
                <w:sz w:val="18"/>
                <w:szCs w:val="18"/>
              </w:rPr>
              <w:t>5</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233244" w14:textId="28663985"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18</w:t>
            </w:r>
            <w:r w:rsidR="00B75C05">
              <w:rPr>
                <w:rFonts w:asciiTheme="minorHAnsi" w:hAnsiTheme="minorHAnsi" w:cstheme="minorHAnsi"/>
                <w:sz w:val="18"/>
                <w:szCs w:val="18"/>
              </w:rPr>
              <w:t>2</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4C3E21" w14:textId="64A2801D" w:rsidR="00811B42" w:rsidRPr="004870C7" w:rsidRDefault="00B75C05" w:rsidP="00E54168">
            <w:pPr>
              <w:jc w:val="center"/>
              <w:rPr>
                <w:rFonts w:asciiTheme="minorHAnsi" w:hAnsiTheme="minorHAnsi" w:cstheme="minorHAnsi"/>
                <w:sz w:val="18"/>
                <w:szCs w:val="18"/>
              </w:rPr>
            </w:pPr>
            <w:r>
              <w:rPr>
                <w:rFonts w:asciiTheme="minorHAnsi" w:hAnsiTheme="minorHAnsi" w:cstheme="minorHAnsi"/>
                <w:sz w:val="18"/>
                <w:szCs w:val="18"/>
              </w:rPr>
              <w:t>88</w:t>
            </w:r>
            <w:r w:rsidR="009462B7" w:rsidRPr="004870C7">
              <w:rPr>
                <w:rFonts w:asciiTheme="minorHAnsi" w:hAnsiTheme="minorHAnsi" w:cstheme="minorHAnsi"/>
                <w:sz w:val="18"/>
                <w:szCs w:val="18"/>
              </w:rPr>
              <w:t>,</w:t>
            </w:r>
            <w:r w:rsidR="00811B42" w:rsidRPr="004870C7">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74529233" w14:textId="02941EA4"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1</w:t>
            </w:r>
            <w:r w:rsidR="00B75C05">
              <w:rPr>
                <w:rFonts w:asciiTheme="minorHAnsi" w:hAnsiTheme="minorHAnsi" w:cstheme="minorHAnsi"/>
                <w:sz w:val="18"/>
                <w:szCs w:val="18"/>
              </w:rPr>
              <w:t>7</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F8799D" w14:textId="15DCFC51"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517</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r>
      <w:tr w:rsidR="00811B42" w:rsidRPr="004870C7" w14:paraId="2866C042" w14:textId="77777777" w:rsidTr="00956A5F">
        <w:trPr>
          <w:gridAfter w:val="1"/>
          <w:wAfter w:w="30" w:type="dxa"/>
          <w:cantSplit/>
        </w:trPr>
        <w:tc>
          <w:tcPr>
            <w:tcW w:w="1440" w:type="dxa"/>
            <w:shd w:val="clear" w:color="auto" w:fill="auto"/>
            <w:noWrap/>
            <w:vAlign w:val="bottom"/>
          </w:tcPr>
          <w:p w14:paraId="2C835856" w14:textId="77777777" w:rsidR="00811B42" w:rsidRPr="004870C7" w:rsidRDefault="00811B42" w:rsidP="00E54168">
            <w:pPr>
              <w:rPr>
                <w:rFonts w:asciiTheme="minorHAnsi" w:hAnsiTheme="minorHAnsi" w:cstheme="minorHAnsi"/>
                <w:sz w:val="18"/>
                <w:szCs w:val="18"/>
              </w:rPr>
            </w:pPr>
          </w:p>
        </w:tc>
        <w:tc>
          <w:tcPr>
            <w:tcW w:w="915" w:type="dxa"/>
            <w:gridSpan w:val="2"/>
          </w:tcPr>
          <w:p w14:paraId="45E0959C" w14:textId="77777777" w:rsidR="00811B42" w:rsidRPr="004870C7" w:rsidRDefault="00811B42" w:rsidP="00E54168">
            <w:pPr>
              <w:rPr>
                <w:rFonts w:asciiTheme="minorHAnsi" w:hAnsiTheme="minorHAnsi" w:cstheme="minorHAnsi"/>
                <w:sz w:val="18"/>
                <w:szCs w:val="18"/>
              </w:rPr>
            </w:pPr>
          </w:p>
        </w:tc>
        <w:tc>
          <w:tcPr>
            <w:tcW w:w="915" w:type="dxa"/>
            <w:gridSpan w:val="2"/>
            <w:shd w:val="clear" w:color="auto" w:fill="auto"/>
            <w:noWrap/>
            <w:vAlign w:val="bottom"/>
          </w:tcPr>
          <w:p w14:paraId="53D86E9E" w14:textId="77777777" w:rsidR="00811B42" w:rsidRPr="004870C7" w:rsidRDefault="00811B42" w:rsidP="00E54168">
            <w:pPr>
              <w:rPr>
                <w:rFonts w:asciiTheme="minorHAnsi" w:hAnsiTheme="minorHAnsi" w:cstheme="minorHAnsi"/>
                <w:sz w:val="18"/>
                <w:szCs w:val="18"/>
              </w:rPr>
            </w:pPr>
          </w:p>
        </w:tc>
        <w:tc>
          <w:tcPr>
            <w:tcW w:w="240" w:type="dxa"/>
            <w:tcBorders>
              <w:right w:val="single" w:sz="4" w:space="0" w:color="auto"/>
            </w:tcBorders>
            <w:shd w:val="clear" w:color="auto" w:fill="auto"/>
            <w:noWrap/>
            <w:vAlign w:val="bottom"/>
          </w:tcPr>
          <w:p w14:paraId="31188149" w14:textId="77777777" w:rsidR="00811B42" w:rsidRPr="004870C7" w:rsidRDefault="00811B42" w:rsidP="00E54168">
            <w:pPr>
              <w:rPr>
                <w:rFonts w:asciiTheme="minorHAnsi" w:hAnsiTheme="minorHAnsi" w:cstheme="minorHAnsi"/>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2497DA" w14:textId="1FA20C52" w:rsidR="00811B42" w:rsidRPr="004870C7" w:rsidRDefault="00811B42" w:rsidP="00E54168">
            <w:pPr>
              <w:jc w:val="right"/>
              <w:rPr>
                <w:rFonts w:asciiTheme="minorHAnsi" w:hAnsiTheme="minorHAnsi" w:cstheme="minorHAnsi"/>
                <w:sz w:val="18"/>
                <w:szCs w:val="18"/>
              </w:rPr>
            </w:pPr>
            <w:r w:rsidRPr="004870C7">
              <w:rPr>
                <w:rFonts w:asciiTheme="minorHAnsi" w:hAnsiTheme="minorHAnsi" w:cstheme="minorHAnsi"/>
                <w:b/>
                <w:bCs/>
                <w:sz w:val="18"/>
                <w:szCs w:val="18"/>
              </w:rPr>
              <w:t>Donor 2 (in-kind) - Government</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240DD" w14:textId="511C6A5E"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w:t>
            </w:r>
            <w:r w:rsidR="00811B42" w:rsidRPr="00B54400">
              <w:rPr>
                <w:rFonts w:asciiTheme="minorHAnsi" w:hAnsiTheme="minorHAnsi" w:cstheme="minorHAnsi"/>
                <w:sz w:val="18"/>
                <w:szCs w:val="18"/>
              </w:rPr>
              <w:t>0</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DF40BE" w14:textId="35E98759"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w:t>
            </w:r>
            <w:r w:rsidR="00811B42" w:rsidRPr="00B54400">
              <w:rPr>
                <w:rFonts w:asciiTheme="minorHAnsi" w:hAnsiTheme="minorHAnsi" w:cstheme="minorHAnsi"/>
                <w:sz w:val="18"/>
                <w:szCs w:val="18"/>
              </w:rPr>
              <w:t>0</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C3866C" w14:textId="7AC2A1B8"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20,00</w:t>
            </w:r>
            <w:r w:rsidR="00811B42" w:rsidRPr="00B54400">
              <w:rPr>
                <w:rFonts w:asciiTheme="minorHAnsi" w:hAnsiTheme="minorHAnsi" w:cstheme="minorHAnsi"/>
                <w:sz w:val="18"/>
                <w:szCs w:val="18"/>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08CF6D" w14:textId="4D2609C4"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20,00</w:t>
            </w:r>
            <w:r w:rsidR="00811B42" w:rsidRPr="00B54400">
              <w:rPr>
                <w:rFonts w:asciiTheme="minorHAnsi" w:hAnsiTheme="minorHAnsi" w:cstheme="minorHAnsi"/>
                <w:sz w:val="18"/>
                <w:szCs w:val="18"/>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69B0E2D2" w14:textId="360D6E94"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20,00</w:t>
            </w:r>
            <w:r w:rsidR="00811B42" w:rsidRPr="00B54400">
              <w:rPr>
                <w:rFonts w:asciiTheme="minorHAnsi" w:hAnsiTheme="minorHAnsi" w:cstheme="minorHAnsi"/>
                <w:sz w:val="18"/>
                <w:szCs w:val="18"/>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0A5B8C" w14:textId="792AB6B4"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100</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r>
      <w:tr w:rsidR="00811B42" w:rsidRPr="004870C7" w14:paraId="1BA904E2" w14:textId="77777777" w:rsidTr="00956A5F">
        <w:trPr>
          <w:gridAfter w:val="1"/>
          <w:wAfter w:w="30" w:type="dxa"/>
          <w:cantSplit/>
        </w:trPr>
        <w:tc>
          <w:tcPr>
            <w:tcW w:w="1440" w:type="dxa"/>
            <w:shd w:val="clear" w:color="auto" w:fill="auto"/>
            <w:noWrap/>
            <w:vAlign w:val="bottom"/>
          </w:tcPr>
          <w:p w14:paraId="08EA78E0" w14:textId="77777777" w:rsidR="00811B42" w:rsidRPr="004870C7" w:rsidRDefault="00811B42" w:rsidP="00E54168">
            <w:pPr>
              <w:rPr>
                <w:rFonts w:asciiTheme="minorHAnsi" w:hAnsiTheme="minorHAnsi" w:cstheme="minorHAnsi"/>
                <w:sz w:val="18"/>
                <w:szCs w:val="18"/>
              </w:rPr>
            </w:pPr>
          </w:p>
        </w:tc>
        <w:tc>
          <w:tcPr>
            <w:tcW w:w="915" w:type="dxa"/>
            <w:gridSpan w:val="2"/>
          </w:tcPr>
          <w:p w14:paraId="262BE2C6" w14:textId="77777777" w:rsidR="00811B42" w:rsidRPr="004870C7" w:rsidRDefault="00811B42" w:rsidP="00E54168">
            <w:pPr>
              <w:rPr>
                <w:rFonts w:asciiTheme="minorHAnsi" w:hAnsiTheme="minorHAnsi" w:cstheme="minorHAnsi"/>
                <w:sz w:val="18"/>
                <w:szCs w:val="18"/>
              </w:rPr>
            </w:pPr>
          </w:p>
        </w:tc>
        <w:tc>
          <w:tcPr>
            <w:tcW w:w="915" w:type="dxa"/>
            <w:gridSpan w:val="2"/>
            <w:shd w:val="clear" w:color="auto" w:fill="auto"/>
            <w:noWrap/>
            <w:vAlign w:val="bottom"/>
          </w:tcPr>
          <w:p w14:paraId="7CA77EA6" w14:textId="77777777" w:rsidR="00811B42" w:rsidRPr="004870C7" w:rsidRDefault="00811B42" w:rsidP="00E54168">
            <w:pPr>
              <w:rPr>
                <w:rFonts w:asciiTheme="minorHAnsi" w:hAnsiTheme="minorHAnsi" w:cstheme="minorHAnsi"/>
                <w:sz w:val="18"/>
                <w:szCs w:val="18"/>
              </w:rPr>
            </w:pPr>
          </w:p>
        </w:tc>
        <w:tc>
          <w:tcPr>
            <w:tcW w:w="240" w:type="dxa"/>
            <w:tcBorders>
              <w:right w:val="single" w:sz="4" w:space="0" w:color="auto"/>
            </w:tcBorders>
            <w:shd w:val="clear" w:color="auto" w:fill="auto"/>
            <w:noWrap/>
            <w:vAlign w:val="bottom"/>
          </w:tcPr>
          <w:p w14:paraId="40B29367" w14:textId="77777777" w:rsidR="00811B42" w:rsidRPr="004870C7" w:rsidRDefault="00811B42" w:rsidP="00E54168">
            <w:pPr>
              <w:rPr>
                <w:rFonts w:asciiTheme="minorHAnsi" w:hAnsiTheme="minorHAnsi" w:cstheme="minorHAnsi"/>
                <w:sz w:val="18"/>
                <w:szCs w:val="18"/>
              </w:rPr>
            </w:pPr>
          </w:p>
        </w:tc>
        <w:tc>
          <w:tcPr>
            <w:tcW w:w="3510" w:type="dxa"/>
            <w:gridSpan w:val="3"/>
            <w:tcBorders>
              <w:top w:val="double" w:sz="4" w:space="0" w:color="auto"/>
              <w:left w:val="single" w:sz="4" w:space="0" w:color="auto"/>
              <w:bottom w:val="single" w:sz="4" w:space="0" w:color="auto"/>
              <w:right w:val="single" w:sz="4" w:space="0" w:color="auto"/>
            </w:tcBorders>
            <w:shd w:val="clear" w:color="auto" w:fill="auto"/>
            <w:noWrap/>
            <w:vAlign w:val="bottom"/>
          </w:tcPr>
          <w:p w14:paraId="1DCD9BE1" w14:textId="77777777" w:rsidR="00811B42" w:rsidRPr="004870C7" w:rsidRDefault="00811B42" w:rsidP="00E54168">
            <w:pPr>
              <w:jc w:val="right"/>
              <w:rPr>
                <w:rFonts w:asciiTheme="minorHAnsi" w:hAnsiTheme="minorHAnsi" w:cstheme="minorHAnsi"/>
                <w:sz w:val="18"/>
                <w:szCs w:val="18"/>
              </w:rPr>
            </w:pPr>
            <w:r w:rsidRPr="004870C7">
              <w:rPr>
                <w:rFonts w:asciiTheme="minorHAnsi" w:hAnsiTheme="minorHAnsi" w:cstheme="minorHAnsi"/>
                <w:b/>
                <w:bCs/>
                <w:sz w:val="18"/>
                <w:szCs w:val="18"/>
              </w:rPr>
              <w:t>TOTAL</w:t>
            </w:r>
          </w:p>
        </w:tc>
        <w:tc>
          <w:tcPr>
            <w:tcW w:w="1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3E1C8D2" w14:textId="1344DC0A"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6</w:t>
            </w:r>
            <w:r w:rsidR="00B75C05" w:rsidRPr="00B54400">
              <w:rPr>
                <w:rFonts w:asciiTheme="minorHAnsi" w:hAnsiTheme="minorHAnsi" w:cstheme="minorHAnsi"/>
                <w:sz w:val="18"/>
                <w:szCs w:val="18"/>
              </w:rPr>
              <w:t>5</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14:paraId="37E2286F" w14:textId="28C0AA65" w:rsidR="00811B42" w:rsidRPr="00B54400" w:rsidRDefault="00811B42" w:rsidP="00E54168">
            <w:pPr>
              <w:jc w:val="center"/>
              <w:rPr>
                <w:rFonts w:asciiTheme="minorHAnsi" w:hAnsiTheme="minorHAnsi" w:cstheme="minorHAnsi"/>
                <w:sz w:val="18"/>
                <w:szCs w:val="18"/>
              </w:rPr>
            </w:pPr>
            <w:r w:rsidRPr="00B54400">
              <w:rPr>
                <w:rFonts w:asciiTheme="minorHAnsi" w:hAnsiTheme="minorHAnsi" w:cstheme="minorHAnsi"/>
                <w:sz w:val="18"/>
                <w:szCs w:val="18"/>
              </w:rPr>
              <w:t>2</w:t>
            </w:r>
            <w:r w:rsidR="00F175FB" w:rsidRPr="00B54400">
              <w:rPr>
                <w:rFonts w:asciiTheme="minorHAnsi" w:hAnsiTheme="minorHAnsi" w:cstheme="minorHAnsi"/>
                <w:sz w:val="18"/>
                <w:szCs w:val="18"/>
              </w:rPr>
              <w:t>0</w:t>
            </w:r>
            <w:r w:rsidR="00B75C05" w:rsidRPr="00B54400">
              <w:rPr>
                <w:rFonts w:asciiTheme="minorHAnsi" w:hAnsiTheme="minorHAnsi" w:cstheme="minorHAnsi"/>
                <w:sz w:val="18"/>
                <w:szCs w:val="18"/>
              </w:rPr>
              <w:t>5</w:t>
            </w:r>
            <w:r w:rsidR="009462B7" w:rsidRPr="00B54400">
              <w:rPr>
                <w:rFonts w:asciiTheme="minorHAnsi" w:hAnsiTheme="minorHAnsi" w:cstheme="minorHAnsi"/>
                <w:sz w:val="18"/>
                <w:szCs w:val="18"/>
              </w:rPr>
              <w:t>,</w:t>
            </w:r>
            <w:r w:rsidRPr="00B54400">
              <w:rPr>
                <w:rFonts w:asciiTheme="minorHAnsi" w:hAnsiTheme="minorHAnsi" w:cstheme="minorHAnsi"/>
                <w:sz w:val="18"/>
                <w:szCs w:val="18"/>
              </w:rPr>
              <w:t>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14:paraId="7A3605CF" w14:textId="109DCC64"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20</w:t>
            </w:r>
            <w:r w:rsidR="00B75C05" w:rsidRPr="00B54400">
              <w:rPr>
                <w:rFonts w:asciiTheme="minorHAnsi" w:hAnsiTheme="minorHAnsi" w:cstheme="minorHAnsi"/>
                <w:sz w:val="18"/>
                <w:szCs w:val="18"/>
              </w:rPr>
              <w:t>2</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14:paraId="0589CE17" w14:textId="537B440E"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108</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tcPr>
          <w:p w14:paraId="40F8C9CE" w14:textId="6FEB6AC0" w:rsidR="00811B42" w:rsidRPr="00B54400" w:rsidRDefault="00F175FB" w:rsidP="00E54168">
            <w:pPr>
              <w:jc w:val="center"/>
              <w:rPr>
                <w:rFonts w:asciiTheme="minorHAnsi" w:hAnsiTheme="minorHAnsi" w:cstheme="minorHAnsi"/>
                <w:sz w:val="18"/>
                <w:szCs w:val="18"/>
              </w:rPr>
            </w:pPr>
            <w:r w:rsidRPr="00B54400">
              <w:rPr>
                <w:rFonts w:asciiTheme="minorHAnsi" w:hAnsiTheme="minorHAnsi" w:cstheme="minorHAnsi"/>
                <w:sz w:val="18"/>
                <w:szCs w:val="18"/>
              </w:rPr>
              <w:t>37</w:t>
            </w:r>
            <w:r w:rsidR="009462B7" w:rsidRPr="00B54400">
              <w:rPr>
                <w:rFonts w:asciiTheme="minorHAnsi" w:hAnsiTheme="minorHAnsi" w:cstheme="minorHAnsi"/>
                <w:sz w:val="18"/>
                <w:szCs w:val="18"/>
              </w:rPr>
              <w:t>,</w:t>
            </w:r>
            <w:r w:rsidR="00811B42" w:rsidRPr="00B54400">
              <w:rPr>
                <w:rFonts w:asciiTheme="minorHAnsi" w:hAnsiTheme="minorHAnsi" w:cstheme="minorHAnsi"/>
                <w:sz w:val="18"/>
                <w:szCs w:val="18"/>
              </w:rPr>
              <w:t>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14:paraId="12B3ED73" w14:textId="5E465FCA" w:rsidR="00811B42" w:rsidRPr="004870C7" w:rsidRDefault="00811B42" w:rsidP="00E54168">
            <w:pPr>
              <w:jc w:val="center"/>
              <w:rPr>
                <w:rFonts w:asciiTheme="minorHAnsi" w:hAnsiTheme="minorHAnsi" w:cstheme="minorHAnsi"/>
                <w:sz w:val="18"/>
                <w:szCs w:val="18"/>
              </w:rPr>
            </w:pPr>
            <w:r w:rsidRPr="004870C7">
              <w:rPr>
                <w:rFonts w:asciiTheme="minorHAnsi" w:hAnsiTheme="minorHAnsi" w:cstheme="minorHAnsi"/>
                <w:sz w:val="18"/>
                <w:szCs w:val="18"/>
              </w:rPr>
              <w:t>617</w:t>
            </w:r>
            <w:r w:rsidR="009462B7" w:rsidRPr="004870C7">
              <w:rPr>
                <w:rFonts w:asciiTheme="minorHAnsi" w:hAnsiTheme="minorHAnsi" w:cstheme="minorHAnsi"/>
                <w:sz w:val="18"/>
                <w:szCs w:val="18"/>
              </w:rPr>
              <w:t>,</w:t>
            </w:r>
            <w:r w:rsidRPr="004870C7">
              <w:rPr>
                <w:rFonts w:asciiTheme="minorHAnsi" w:hAnsiTheme="minorHAnsi" w:cstheme="minorHAnsi"/>
                <w:sz w:val="18"/>
                <w:szCs w:val="18"/>
              </w:rPr>
              <w:t>000</w:t>
            </w:r>
          </w:p>
        </w:tc>
      </w:tr>
    </w:tbl>
    <w:p w14:paraId="3E2D1D1B" w14:textId="77777777" w:rsidR="00470E9A" w:rsidRPr="004870C7" w:rsidRDefault="00470E9A" w:rsidP="00470E9A">
      <w:pPr>
        <w:rPr>
          <w:rFonts w:asciiTheme="minorHAnsi" w:hAnsiTheme="minorHAnsi" w:cstheme="minorHAnsi"/>
          <w:sz w:val="18"/>
          <w:szCs w:val="18"/>
        </w:rPr>
      </w:pPr>
    </w:p>
    <w:p w14:paraId="63C267D4" w14:textId="53272D04" w:rsidR="00470E9A" w:rsidRPr="004870C7" w:rsidRDefault="00470E9A" w:rsidP="00470E9A">
      <w:pPr>
        <w:rPr>
          <w:rFonts w:asciiTheme="minorHAnsi" w:hAnsiTheme="minorHAnsi" w:cstheme="minorHAnsi"/>
          <w:sz w:val="18"/>
          <w:szCs w:val="18"/>
        </w:rPr>
      </w:pPr>
    </w:p>
    <w:p w14:paraId="16B531B7" w14:textId="570F7885" w:rsidR="00095691" w:rsidRDefault="00095691" w:rsidP="00470E9A">
      <w:pPr>
        <w:rPr>
          <w:rFonts w:asciiTheme="minorHAnsi" w:hAnsiTheme="minorHAnsi" w:cstheme="minorHAnsi"/>
          <w:b/>
          <w:sz w:val="18"/>
          <w:szCs w:val="18"/>
        </w:rPr>
      </w:pPr>
    </w:p>
    <w:p w14:paraId="078F60C2" w14:textId="77777777" w:rsidR="00F175FB" w:rsidRPr="004870C7" w:rsidRDefault="00F175FB" w:rsidP="00470E9A">
      <w:pPr>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2856"/>
      </w:tblGrid>
      <w:tr w:rsidR="00470E9A" w:rsidRPr="004870C7" w14:paraId="2928DFA5" w14:textId="77777777" w:rsidTr="00364123">
        <w:tc>
          <w:tcPr>
            <w:tcW w:w="1534" w:type="dxa"/>
            <w:shd w:val="clear" w:color="auto" w:fill="auto"/>
          </w:tcPr>
          <w:p w14:paraId="4E005729" w14:textId="77777777" w:rsidR="00470E9A" w:rsidRPr="004870C7" w:rsidRDefault="00470E9A" w:rsidP="00E54168">
            <w:pPr>
              <w:jc w:val="left"/>
              <w:rPr>
                <w:rFonts w:asciiTheme="minorHAnsi" w:hAnsiTheme="minorHAnsi" w:cstheme="minorHAnsi"/>
                <w:b/>
                <w:sz w:val="18"/>
                <w:szCs w:val="18"/>
              </w:rPr>
            </w:pPr>
            <w:r w:rsidRPr="004870C7">
              <w:rPr>
                <w:rFonts w:asciiTheme="minorHAnsi" w:hAnsiTheme="minorHAnsi" w:cstheme="minorHAnsi"/>
                <w:b/>
                <w:sz w:val="18"/>
                <w:szCs w:val="18"/>
              </w:rPr>
              <w:lastRenderedPageBreak/>
              <w:t>Budget note number</w:t>
            </w:r>
          </w:p>
        </w:tc>
        <w:tc>
          <w:tcPr>
            <w:tcW w:w="12856" w:type="dxa"/>
            <w:shd w:val="clear" w:color="auto" w:fill="auto"/>
          </w:tcPr>
          <w:p w14:paraId="7E1C9263" w14:textId="7DC57B01" w:rsidR="00470E9A" w:rsidRPr="004870C7" w:rsidRDefault="00470E9A" w:rsidP="00E54168">
            <w:pPr>
              <w:pStyle w:val="CommentText"/>
              <w:rPr>
                <w:rFonts w:asciiTheme="minorHAnsi" w:hAnsiTheme="minorHAnsi" w:cstheme="minorHAnsi"/>
                <w:sz w:val="18"/>
                <w:szCs w:val="18"/>
              </w:rPr>
            </w:pPr>
            <w:r w:rsidRPr="004870C7">
              <w:rPr>
                <w:rFonts w:asciiTheme="minorHAnsi" w:hAnsiTheme="minorHAnsi" w:cstheme="minorHAnsi"/>
                <w:b/>
                <w:sz w:val="18"/>
                <w:szCs w:val="18"/>
              </w:rPr>
              <w:t xml:space="preserve">Comments: </w:t>
            </w:r>
            <w:r w:rsidRPr="004870C7">
              <w:rPr>
                <w:rFonts w:asciiTheme="minorHAnsi" w:hAnsiTheme="minorHAnsi" w:cstheme="minorHAnsi"/>
                <w:sz w:val="18"/>
                <w:szCs w:val="18"/>
              </w:rPr>
              <w:t xml:space="preserve">Budget note should be output based rather than input based.  Even for individual consultants’ outputs of the consultants must be clear.  Include cost breakdown and calculation basis (e.g. daily fee and number of days/weeks, unit cost and number), as well as a total amount for the budget line. </w:t>
            </w:r>
          </w:p>
        </w:tc>
      </w:tr>
      <w:tr w:rsidR="00470E9A" w:rsidRPr="004870C7" w14:paraId="43760305" w14:textId="77777777" w:rsidTr="00364123">
        <w:tc>
          <w:tcPr>
            <w:tcW w:w="1534" w:type="dxa"/>
            <w:shd w:val="clear" w:color="auto" w:fill="auto"/>
          </w:tcPr>
          <w:p w14:paraId="20188433" w14:textId="396BF84B" w:rsidR="00470E9A" w:rsidRPr="004870C7" w:rsidRDefault="00811B42" w:rsidP="00811B42">
            <w:pPr>
              <w:jc w:val="center"/>
              <w:rPr>
                <w:rFonts w:asciiTheme="minorHAnsi" w:hAnsiTheme="minorHAnsi" w:cstheme="minorHAnsi"/>
                <w:b/>
                <w:sz w:val="18"/>
                <w:szCs w:val="18"/>
              </w:rPr>
            </w:pPr>
            <w:r w:rsidRPr="004870C7">
              <w:rPr>
                <w:rFonts w:asciiTheme="minorHAnsi" w:hAnsiTheme="minorHAnsi" w:cstheme="minorHAnsi"/>
                <w:b/>
                <w:sz w:val="18"/>
                <w:szCs w:val="18"/>
              </w:rPr>
              <w:t>1</w:t>
            </w:r>
          </w:p>
        </w:tc>
        <w:tc>
          <w:tcPr>
            <w:tcW w:w="12856" w:type="dxa"/>
            <w:shd w:val="clear" w:color="auto" w:fill="auto"/>
          </w:tcPr>
          <w:p w14:paraId="67946866" w14:textId="15D570A6" w:rsidR="00470E9A"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Short term local consultant</w:t>
            </w:r>
            <w:r w:rsidR="005335D9" w:rsidRPr="004870C7">
              <w:rPr>
                <w:rFonts w:asciiTheme="minorHAnsi" w:hAnsiTheme="minorHAnsi" w:cstheme="minorHAnsi"/>
                <w:bCs/>
                <w:sz w:val="18"/>
                <w:szCs w:val="18"/>
              </w:rPr>
              <w:t xml:space="preserve">s </w:t>
            </w:r>
            <w:r w:rsidRPr="004870C7">
              <w:rPr>
                <w:rFonts w:asciiTheme="minorHAnsi" w:hAnsiTheme="minorHAnsi" w:cstheme="minorHAnsi"/>
                <w:bCs/>
                <w:sz w:val="18"/>
                <w:szCs w:val="18"/>
              </w:rPr>
              <w:t>will be engaged for development of the National Circumstances Chapter</w:t>
            </w:r>
            <w:r w:rsidR="005335D9" w:rsidRPr="004870C7">
              <w:rPr>
                <w:rFonts w:asciiTheme="minorHAnsi" w:hAnsiTheme="minorHAnsi" w:cstheme="minorHAnsi"/>
                <w:bCs/>
                <w:sz w:val="18"/>
                <w:szCs w:val="18"/>
              </w:rPr>
              <w:t>, including revision of institutional, legal, strategic, technical and financial frameworks,</w:t>
            </w:r>
            <w:r w:rsidR="00A11744" w:rsidRPr="004870C7">
              <w:rPr>
                <w:rFonts w:asciiTheme="minorHAnsi" w:hAnsiTheme="minorHAnsi" w:cstheme="minorHAnsi"/>
                <w:bCs/>
                <w:sz w:val="18"/>
                <w:szCs w:val="18"/>
              </w:rPr>
              <w:t xml:space="preserve"> </w:t>
            </w:r>
            <w:r w:rsidR="00A11744" w:rsidRPr="00B22454">
              <w:rPr>
                <w:rFonts w:asciiTheme="minorHAnsi" w:hAnsiTheme="minorHAnsi" w:cstheme="minorHAnsi"/>
                <w:bCs/>
                <w:sz w:val="18"/>
                <w:szCs w:val="18"/>
              </w:rPr>
              <w:t>as well as gender expert,</w:t>
            </w:r>
            <w:r w:rsidR="005335D9" w:rsidRPr="00B22454">
              <w:rPr>
                <w:rFonts w:asciiTheme="minorHAnsi" w:hAnsiTheme="minorHAnsi" w:cstheme="minorHAnsi"/>
                <w:bCs/>
                <w:sz w:val="18"/>
                <w:szCs w:val="18"/>
              </w:rPr>
              <w:t xml:space="preserve"> app</w:t>
            </w:r>
            <w:r w:rsidR="005335D9" w:rsidRPr="004870C7">
              <w:rPr>
                <w:rFonts w:asciiTheme="minorHAnsi" w:hAnsiTheme="minorHAnsi" w:cstheme="minorHAnsi"/>
                <w:bCs/>
                <w:sz w:val="18"/>
                <w:szCs w:val="18"/>
              </w:rPr>
              <w:t xml:space="preserve">. 160 working days/150 EUR, which is 24.000 USD for a period of two years.    </w:t>
            </w:r>
          </w:p>
        </w:tc>
      </w:tr>
      <w:tr w:rsidR="00470E9A" w:rsidRPr="004870C7" w14:paraId="43B99B5D" w14:textId="77777777" w:rsidTr="00364123">
        <w:tc>
          <w:tcPr>
            <w:tcW w:w="1534" w:type="dxa"/>
            <w:shd w:val="clear" w:color="auto" w:fill="auto"/>
          </w:tcPr>
          <w:p w14:paraId="215EBB39" w14:textId="7E211E39" w:rsidR="00470E9A" w:rsidRPr="004870C7" w:rsidRDefault="00811B42" w:rsidP="00811B42">
            <w:pPr>
              <w:jc w:val="center"/>
              <w:rPr>
                <w:rFonts w:asciiTheme="minorHAnsi" w:hAnsiTheme="minorHAnsi" w:cstheme="minorHAnsi"/>
                <w:b/>
                <w:sz w:val="18"/>
                <w:szCs w:val="18"/>
              </w:rPr>
            </w:pPr>
            <w:r w:rsidRPr="004870C7">
              <w:rPr>
                <w:rFonts w:asciiTheme="minorHAnsi" w:hAnsiTheme="minorHAnsi" w:cstheme="minorHAnsi"/>
                <w:b/>
                <w:sz w:val="18"/>
                <w:szCs w:val="18"/>
              </w:rPr>
              <w:t>2</w:t>
            </w:r>
          </w:p>
        </w:tc>
        <w:tc>
          <w:tcPr>
            <w:tcW w:w="12856" w:type="dxa"/>
            <w:shd w:val="clear" w:color="auto" w:fill="auto"/>
          </w:tcPr>
          <w:p w14:paraId="4A413C78" w14:textId="5D4AFE89" w:rsidR="00470E9A"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Local companies will be engaged to work on gender related data collection, as well as on relation with Covid 19 and its impacts</w:t>
            </w:r>
          </w:p>
        </w:tc>
      </w:tr>
      <w:tr w:rsidR="00811B42" w:rsidRPr="004870C7" w14:paraId="5350053B" w14:textId="77777777" w:rsidTr="00364123">
        <w:tc>
          <w:tcPr>
            <w:tcW w:w="1534" w:type="dxa"/>
            <w:shd w:val="clear" w:color="auto" w:fill="auto"/>
          </w:tcPr>
          <w:p w14:paraId="1A626CB4" w14:textId="57916DC3" w:rsidR="00811B42" w:rsidRPr="004870C7" w:rsidRDefault="00811B42" w:rsidP="00811B42">
            <w:pPr>
              <w:jc w:val="center"/>
              <w:rPr>
                <w:rFonts w:asciiTheme="minorHAnsi" w:hAnsiTheme="minorHAnsi" w:cstheme="minorHAnsi"/>
                <w:b/>
                <w:sz w:val="18"/>
                <w:szCs w:val="18"/>
              </w:rPr>
            </w:pPr>
            <w:r w:rsidRPr="004870C7">
              <w:rPr>
                <w:rFonts w:asciiTheme="minorHAnsi" w:hAnsiTheme="minorHAnsi" w:cstheme="minorHAnsi"/>
                <w:b/>
                <w:sz w:val="18"/>
                <w:szCs w:val="18"/>
              </w:rPr>
              <w:t>3</w:t>
            </w:r>
          </w:p>
        </w:tc>
        <w:tc>
          <w:tcPr>
            <w:tcW w:w="12856" w:type="dxa"/>
            <w:shd w:val="clear" w:color="auto" w:fill="auto"/>
          </w:tcPr>
          <w:p w14:paraId="4CF0F767" w14:textId="71856233"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Travel expenses for related trainings, workshops</w:t>
            </w:r>
            <w:r w:rsidR="00B22454">
              <w:rPr>
                <w:rFonts w:asciiTheme="minorHAnsi" w:hAnsiTheme="minorHAnsi" w:cstheme="minorHAnsi"/>
                <w:bCs/>
                <w:sz w:val="18"/>
                <w:szCs w:val="18"/>
              </w:rPr>
              <w:t xml:space="preserve">, presentations and </w:t>
            </w:r>
            <w:r w:rsidRPr="004870C7">
              <w:rPr>
                <w:rFonts w:asciiTheme="minorHAnsi" w:hAnsiTheme="minorHAnsi" w:cstheme="minorHAnsi"/>
                <w:bCs/>
                <w:sz w:val="18"/>
                <w:szCs w:val="18"/>
              </w:rPr>
              <w:t xml:space="preserve">exchange of </w:t>
            </w:r>
            <w:r w:rsidR="00B22454">
              <w:rPr>
                <w:rFonts w:asciiTheme="minorHAnsi" w:hAnsiTheme="minorHAnsi" w:cstheme="minorHAnsi"/>
                <w:bCs/>
                <w:sz w:val="18"/>
                <w:szCs w:val="18"/>
              </w:rPr>
              <w:t xml:space="preserve">knowledge and </w:t>
            </w:r>
            <w:r w:rsidRPr="004870C7">
              <w:rPr>
                <w:rFonts w:asciiTheme="minorHAnsi" w:hAnsiTheme="minorHAnsi" w:cstheme="minorHAnsi"/>
                <w:bCs/>
                <w:sz w:val="18"/>
                <w:szCs w:val="18"/>
              </w:rPr>
              <w:t>experiences</w:t>
            </w:r>
          </w:p>
        </w:tc>
      </w:tr>
      <w:tr w:rsidR="00811B42" w:rsidRPr="004870C7" w14:paraId="159DC3E5" w14:textId="77777777" w:rsidTr="00364123">
        <w:tc>
          <w:tcPr>
            <w:tcW w:w="1534" w:type="dxa"/>
            <w:shd w:val="clear" w:color="auto" w:fill="auto"/>
          </w:tcPr>
          <w:p w14:paraId="3F56F387" w14:textId="012CB1D4" w:rsidR="00811B42" w:rsidRPr="004870C7" w:rsidRDefault="00811B42" w:rsidP="00811B42">
            <w:pPr>
              <w:jc w:val="center"/>
              <w:rPr>
                <w:rFonts w:asciiTheme="minorHAnsi" w:hAnsiTheme="minorHAnsi" w:cstheme="minorHAnsi"/>
                <w:b/>
                <w:sz w:val="18"/>
                <w:szCs w:val="18"/>
              </w:rPr>
            </w:pPr>
            <w:r w:rsidRPr="004870C7">
              <w:rPr>
                <w:rFonts w:asciiTheme="minorHAnsi" w:hAnsiTheme="minorHAnsi" w:cstheme="minorHAnsi"/>
                <w:b/>
                <w:sz w:val="18"/>
                <w:szCs w:val="18"/>
              </w:rPr>
              <w:t>4</w:t>
            </w:r>
          </w:p>
        </w:tc>
        <w:tc>
          <w:tcPr>
            <w:tcW w:w="12856" w:type="dxa"/>
            <w:shd w:val="clear" w:color="auto" w:fill="auto"/>
          </w:tcPr>
          <w:p w14:paraId="05C94662" w14:textId="15F5BF19"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Communications related expenses: acquisition of audio</w:t>
            </w:r>
            <w:r w:rsidR="00364123" w:rsidRPr="004870C7">
              <w:rPr>
                <w:rFonts w:asciiTheme="minorHAnsi" w:hAnsiTheme="minorHAnsi" w:cstheme="minorHAnsi"/>
                <w:bCs/>
                <w:sz w:val="18"/>
                <w:szCs w:val="18"/>
              </w:rPr>
              <w:t>-</w:t>
            </w:r>
            <w:r w:rsidRPr="004870C7">
              <w:rPr>
                <w:rFonts w:asciiTheme="minorHAnsi" w:hAnsiTheme="minorHAnsi" w:cstheme="minorHAnsi"/>
                <w:bCs/>
                <w:sz w:val="18"/>
                <w:szCs w:val="18"/>
              </w:rPr>
              <w:t>visual equipment, land telephone charges, mobile telephone charges, e-mail subscription, postage</w:t>
            </w:r>
          </w:p>
        </w:tc>
      </w:tr>
      <w:tr w:rsidR="00811B42" w:rsidRPr="004870C7" w14:paraId="2F4B34FD" w14:textId="77777777" w:rsidTr="00364123">
        <w:tc>
          <w:tcPr>
            <w:tcW w:w="1534" w:type="dxa"/>
            <w:shd w:val="clear" w:color="auto" w:fill="auto"/>
          </w:tcPr>
          <w:p w14:paraId="0C9ECD4F" w14:textId="2AAEB948" w:rsidR="00811B42" w:rsidRPr="004870C7" w:rsidRDefault="00811B42" w:rsidP="00811B42">
            <w:pPr>
              <w:jc w:val="center"/>
              <w:rPr>
                <w:rFonts w:asciiTheme="minorHAnsi" w:hAnsiTheme="minorHAnsi" w:cstheme="minorHAnsi"/>
                <w:b/>
                <w:sz w:val="18"/>
                <w:szCs w:val="18"/>
              </w:rPr>
            </w:pPr>
            <w:r w:rsidRPr="004870C7">
              <w:rPr>
                <w:rFonts w:asciiTheme="minorHAnsi" w:hAnsiTheme="minorHAnsi" w:cstheme="minorHAnsi"/>
                <w:b/>
                <w:sz w:val="18"/>
                <w:szCs w:val="18"/>
              </w:rPr>
              <w:t>5</w:t>
            </w:r>
          </w:p>
        </w:tc>
        <w:tc>
          <w:tcPr>
            <w:tcW w:w="12856" w:type="dxa"/>
            <w:shd w:val="clear" w:color="auto" w:fill="auto"/>
          </w:tcPr>
          <w:p w14:paraId="4336FB15" w14:textId="4AAA330F"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Office supplies</w:t>
            </w:r>
          </w:p>
        </w:tc>
      </w:tr>
      <w:tr w:rsidR="00811B42" w:rsidRPr="004870C7" w14:paraId="0469B6D5" w14:textId="77777777" w:rsidTr="00364123">
        <w:tc>
          <w:tcPr>
            <w:tcW w:w="1534" w:type="dxa"/>
            <w:shd w:val="clear" w:color="auto" w:fill="auto"/>
          </w:tcPr>
          <w:p w14:paraId="0ACA2597" w14:textId="7C4D04B0" w:rsidR="00811B42" w:rsidRPr="00F175FB" w:rsidRDefault="00811B42" w:rsidP="00811B42">
            <w:pPr>
              <w:jc w:val="center"/>
              <w:rPr>
                <w:rFonts w:asciiTheme="minorHAnsi" w:hAnsiTheme="minorHAnsi" w:cstheme="minorHAnsi"/>
                <w:b/>
                <w:sz w:val="18"/>
                <w:szCs w:val="18"/>
                <w:highlight w:val="yellow"/>
              </w:rPr>
            </w:pPr>
          </w:p>
        </w:tc>
        <w:tc>
          <w:tcPr>
            <w:tcW w:w="12856" w:type="dxa"/>
            <w:shd w:val="clear" w:color="auto" w:fill="auto"/>
          </w:tcPr>
          <w:p w14:paraId="0810B7D9" w14:textId="5ABD6680" w:rsidR="00811B42" w:rsidRPr="00F175FB" w:rsidRDefault="00811B42" w:rsidP="00E54168">
            <w:pPr>
              <w:rPr>
                <w:rFonts w:asciiTheme="minorHAnsi" w:hAnsiTheme="minorHAnsi" w:cstheme="minorHAnsi"/>
                <w:bCs/>
                <w:sz w:val="18"/>
                <w:szCs w:val="18"/>
                <w:highlight w:val="yellow"/>
              </w:rPr>
            </w:pPr>
          </w:p>
        </w:tc>
      </w:tr>
      <w:tr w:rsidR="00811B42" w:rsidRPr="004870C7" w14:paraId="4C5D41BE" w14:textId="77777777" w:rsidTr="00364123">
        <w:tc>
          <w:tcPr>
            <w:tcW w:w="1534" w:type="dxa"/>
            <w:shd w:val="clear" w:color="auto" w:fill="auto"/>
          </w:tcPr>
          <w:p w14:paraId="19732DAD" w14:textId="0A18A24F" w:rsidR="00811B42" w:rsidRPr="00B54400" w:rsidRDefault="00F175FB" w:rsidP="00811B42">
            <w:pPr>
              <w:jc w:val="center"/>
              <w:rPr>
                <w:rFonts w:asciiTheme="minorHAnsi" w:hAnsiTheme="minorHAnsi" w:cstheme="minorHAnsi"/>
                <w:b/>
                <w:sz w:val="18"/>
                <w:szCs w:val="18"/>
              </w:rPr>
            </w:pPr>
            <w:r w:rsidRPr="00B54400">
              <w:rPr>
                <w:rFonts w:asciiTheme="minorHAnsi" w:hAnsiTheme="minorHAnsi" w:cstheme="minorHAnsi"/>
                <w:b/>
                <w:sz w:val="18"/>
                <w:szCs w:val="18"/>
              </w:rPr>
              <w:t>6</w:t>
            </w:r>
          </w:p>
        </w:tc>
        <w:tc>
          <w:tcPr>
            <w:tcW w:w="12856" w:type="dxa"/>
            <w:shd w:val="clear" w:color="auto" w:fill="auto"/>
          </w:tcPr>
          <w:p w14:paraId="72AC0589" w14:textId="768EF6FC"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National institutions in charge of GHG Inventory: EPA, MONSTAT and possibly other stakeholders, producers of state statistics</w:t>
            </w:r>
            <w:r w:rsidR="005335D9" w:rsidRPr="004870C7">
              <w:rPr>
                <w:rFonts w:asciiTheme="minorHAnsi" w:hAnsiTheme="minorHAnsi" w:cstheme="minorHAnsi"/>
                <w:bCs/>
                <w:sz w:val="18"/>
                <w:szCs w:val="18"/>
              </w:rPr>
              <w:t xml:space="preserve"> will provide input data and develop GHG Inventory and NIR for the period 2020-2022, and recalculation of previous time series as needed</w:t>
            </w:r>
          </w:p>
        </w:tc>
      </w:tr>
      <w:tr w:rsidR="00811B42" w:rsidRPr="004870C7" w14:paraId="2A2AE1C5" w14:textId="77777777" w:rsidTr="00364123">
        <w:tc>
          <w:tcPr>
            <w:tcW w:w="1534" w:type="dxa"/>
            <w:shd w:val="clear" w:color="auto" w:fill="auto"/>
          </w:tcPr>
          <w:p w14:paraId="329ACB7F" w14:textId="1461ED64" w:rsidR="00811B42" w:rsidRPr="00B54400" w:rsidRDefault="00F175FB" w:rsidP="00811B42">
            <w:pPr>
              <w:jc w:val="center"/>
              <w:rPr>
                <w:rFonts w:asciiTheme="minorHAnsi" w:hAnsiTheme="minorHAnsi" w:cstheme="minorHAnsi"/>
                <w:b/>
                <w:sz w:val="18"/>
                <w:szCs w:val="18"/>
              </w:rPr>
            </w:pPr>
            <w:r w:rsidRPr="00B54400">
              <w:rPr>
                <w:rFonts w:asciiTheme="minorHAnsi" w:hAnsiTheme="minorHAnsi" w:cstheme="minorHAnsi"/>
                <w:b/>
                <w:sz w:val="18"/>
                <w:szCs w:val="18"/>
              </w:rPr>
              <w:t>7</w:t>
            </w:r>
          </w:p>
        </w:tc>
        <w:tc>
          <w:tcPr>
            <w:tcW w:w="12856" w:type="dxa"/>
            <w:shd w:val="clear" w:color="auto" w:fill="auto"/>
          </w:tcPr>
          <w:p w14:paraId="777DA4DE" w14:textId="2FFC5B13"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 xml:space="preserve">Short Term international consultant(s) to provide </w:t>
            </w:r>
            <w:r w:rsidR="004A3DFE" w:rsidRPr="004870C7">
              <w:rPr>
                <w:rFonts w:asciiTheme="minorHAnsi" w:hAnsiTheme="minorHAnsi" w:cstheme="minorHAnsi"/>
                <w:bCs/>
                <w:sz w:val="18"/>
                <w:szCs w:val="18"/>
              </w:rPr>
              <w:t xml:space="preserve">guidance and technical </w:t>
            </w:r>
            <w:r w:rsidRPr="004870C7">
              <w:rPr>
                <w:rFonts w:asciiTheme="minorHAnsi" w:hAnsiTheme="minorHAnsi" w:cstheme="minorHAnsi"/>
                <w:bCs/>
                <w:sz w:val="18"/>
                <w:szCs w:val="18"/>
              </w:rPr>
              <w:t>inputs in relat</w:t>
            </w:r>
            <w:r w:rsidR="004A3DFE" w:rsidRPr="004870C7">
              <w:rPr>
                <w:rFonts w:asciiTheme="minorHAnsi" w:hAnsiTheme="minorHAnsi" w:cstheme="minorHAnsi"/>
                <w:bCs/>
                <w:sz w:val="18"/>
                <w:szCs w:val="18"/>
              </w:rPr>
              <w:t>ion</w:t>
            </w:r>
            <w:r w:rsidRPr="004870C7">
              <w:rPr>
                <w:rFonts w:asciiTheme="minorHAnsi" w:hAnsiTheme="minorHAnsi" w:cstheme="minorHAnsi"/>
                <w:bCs/>
                <w:sz w:val="18"/>
                <w:szCs w:val="18"/>
              </w:rPr>
              <w:t xml:space="preserve"> to </w:t>
            </w:r>
            <w:r w:rsidR="004A3DFE" w:rsidRPr="004870C7">
              <w:rPr>
                <w:rFonts w:asciiTheme="minorHAnsi" w:hAnsiTheme="minorHAnsi" w:cstheme="minorHAnsi"/>
                <w:bCs/>
                <w:sz w:val="18"/>
                <w:szCs w:val="18"/>
              </w:rPr>
              <w:t xml:space="preserve">the analysis of </w:t>
            </w:r>
            <w:r w:rsidRPr="004870C7">
              <w:rPr>
                <w:rFonts w:asciiTheme="minorHAnsi" w:hAnsiTheme="minorHAnsi" w:cstheme="minorHAnsi"/>
                <w:bCs/>
                <w:sz w:val="18"/>
                <w:szCs w:val="18"/>
              </w:rPr>
              <w:t>mitigation measures</w:t>
            </w:r>
            <w:r w:rsidR="0032548C" w:rsidRPr="004870C7">
              <w:rPr>
                <w:rFonts w:asciiTheme="minorHAnsi" w:hAnsiTheme="minorHAnsi" w:cstheme="minorHAnsi"/>
                <w:bCs/>
                <w:sz w:val="18"/>
                <w:szCs w:val="18"/>
              </w:rPr>
              <w:t>, NDC implementation and achievement</w:t>
            </w:r>
            <w:r w:rsidRPr="004870C7">
              <w:rPr>
                <w:rFonts w:asciiTheme="minorHAnsi" w:hAnsiTheme="minorHAnsi" w:cstheme="minorHAnsi"/>
                <w:bCs/>
                <w:sz w:val="18"/>
                <w:szCs w:val="18"/>
              </w:rPr>
              <w:t xml:space="preserve"> and GHG emission projections (as a support to national consultants)</w:t>
            </w:r>
            <w:r w:rsidR="005335D9" w:rsidRPr="004870C7">
              <w:rPr>
                <w:rFonts w:asciiTheme="minorHAnsi" w:hAnsiTheme="minorHAnsi" w:cstheme="minorHAnsi"/>
                <w:bCs/>
                <w:sz w:val="18"/>
                <w:szCs w:val="18"/>
              </w:rPr>
              <w:t xml:space="preserve">, </w:t>
            </w:r>
            <w:r w:rsidR="00B8141A" w:rsidRPr="004870C7">
              <w:rPr>
                <w:rFonts w:asciiTheme="minorHAnsi" w:hAnsiTheme="minorHAnsi" w:cstheme="minorHAnsi"/>
                <w:bCs/>
                <w:sz w:val="18"/>
                <w:szCs w:val="18"/>
              </w:rPr>
              <w:t xml:space="preserve">app. 170 working days/300 USD, in the amount of 51,000 USD for a period of four years. </w:t>
            </w:r>
          </w:p>
        </w:tc>
      </w:tr>
      <w:tr w:rsidR="00811B42" w:rsidRPr="004870C7" w14:paraId="513D976E" w14:textId="77777777" w:rsidTr="00364123">
        <w:tc>
          <w:tcPr>
            <w:tcW w:w="1534" w:type="dxa"/>
            <w:shd w:val="clear" w:color="auto" w:fill="auto"/>
          </w:tcPr>
          <w:p w14:paraId="7B21E3C4" w14:textId="312A0BD6" w:rsidR="00811B42" w:rsidRPr="00B54400" w:rsidRDefault="00F175FB" w:rsidP="00811B42">
            <w:pPr>
              <w:jc w:val="center"/>
              <w:rPr>
                <w:rFonts w:asciiTheme="minorHAnsi" w:hAnsiTheme="minorHAnsi" w:cstheme="minorHAnsi"/>
                <w:b/>
                <w:sz w:val="18"/>
                <w:szCs w:val="18"/>
              </w:rPr>
            </w:pPr>
            <w:r w:rsidRPr="00B54400">
              <w:rPr>
                <w:rFonts w:asciiTheme="minorHAnsi" w:hAnsiTheme="minorHAnsi" w:cstheme="minorHAnsi"/>
                <w:b/>
                <w:sz w:val="18"/>
                <w:szCs w:val="18"/>
              </w:rPr>
              <w:t>8</w:t>
            </w:r>
          </w:p>
        </w:tc>
        <w:tc>
          <w:tcPr>
            <w:tcW w:w="12856" w:type="dxa"/>
            <w:shd w:val="clear" w:color="auto" w:fill="auto"/>
          </w:tcPr>
          <w:p w14:paraId="5E2BCBFD" w14:textId="0BDFF659" w:rsidR="00811B42" w:rsidRPr="004870C7" w:rsidRDefault="00811B42" w:rsidP="00E54168">
            <w:pPr>
              <w:rPr>
                <w:rFonts w:asciiTheme="minorHAnsi" w:hAnsiTheme="minorHAnsi" w:cstheme="minorHAnsi"/>
                <w:bCs/>
                <w:sz w:val="18"/>
                <w:szCs w:val="18"/>
              </w:rPr>
            </w:pPr>
            <w:r w:rsidRPr="002B3E4D">
              <w:rPr>
                <w:rFonts w:asciiTheme="minorHAnsi" w:hAnsiTheme="minorHAnsi" w:cstheme="minorHAnsi"/>
                <w:bCs/>
                <w:sz w:val="18"/>
                <w:szCs w:val="18"/>
              </w:rPr>
              <w:t xml:space="preserve">Local consultants to work on </w:t>
            </w:r>
            <w:r w:rsidR="0032548C" w:rsidRPr="002B3E4D">
              <w:rPr>
                <w:rFonts w:asciiTheme="minorHAnsi" w:hAnsiTheme="minorHAnsi" w:cstheme="minorHAnsi"/>
                <w:bCs/>
                <w:sz w:val="18"/>
                <w:szCs w:val="18"/>
              </w:rPr>
              <w:t>NDC tracking/</w:t>
            </w:r>
            <w:r w:rsidRPr="002B3E4D">
              <w:rPr>
                <w:rFonts w:asciiTheme="minorHAnsi" w:hAnsiTheme="minorHAnsi" w:cstheme="minorHAnsi"/>
                <w:bCs/>
                <w:sz w:val="18"/>
                <w:szCs w:val="18"/>
              </w:rPr>
              <w:t>mitigation chapter (with the support/training/coaching from international consultant)</w:t>
            </w:r>
            <w:r w:rsidR="001B2675" w:rsidRPr="002B3E4D">
              <w:rPr>
                <w:rFonts w:asciiTheme="minorHAnsi" w:hAnsiTheme="minorHAnsi" w:cstheme="minorHAnsi"/>
                <w:bCs/>
                <w:sz w:val="18"/>
                <w:szCs w:val="18"/>
              </w:rPr>
              <w:t>, app. 150 working days/150 USD, for a period of three years</w:t>
            </w:r>
          </w:p>
        </w:tc>
      </w:tr>
      <w:tr w:rsidR="00811B42" w:rsidRPr="004870C7" w14:paraId="6C1322EE" w14:textId="77777777" w:rsidTr="00364123">
        <w:tc>
          <w:tcPr>
            <w:tcW w:w="1534" w:type="dxa"/>
            <w:shd w:val="clear" w:color="auto" w:fill="auto"/>
          </w:tcPr>
          <w:p w14:paraId="4D0D4150" w14:textId="7B5ECB7E" w:rsidR="00811B42" w:rsidRPr="00B54400" w:rsidRDefault="00F175FB" w:rsidP="00811B42">
            <w:pPr>
              <w:jc w:val="center"/>
              <w:rPr>
                <w:rFonts w:asciiTheme="minorHAnsi" w:hAnsiTheme="minorHAnsi" w:cstheme="minorHAnsi"/>
                <w:b/>
                <w:sz w:val="18"/>
                <w:szCs w:val="18"/>
              </w:rPr>
            </w:pPr>
            <w:r w:rsidRPr="00B54400">
              <w:rPr>
                <w:rFonts w:asciiTheme="minorHAnsi" w:hAnsiTheme="minorHAnsi" w:cstheme="minorHAnsi"/>
                <w:b/>
                <w:sz w:val="18"/>
                <w:szCs w:val="18"/>
              </w:rPr>
              <w:t>9</w:t>
            </w:r>
          </w:p>
        </w:tc>
        <w:tc>
          <w:tcPr>
            <w:tcW w:w="12856" w:type="dxa"/>
            <w:shd w:val="clear" w:color="auto" w:fill="auto"/>
          </w:tcPr>
          <w:p w14:paraId="108F7F4B" w14:textId="5D3E6C0A"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International company to provide support in tracking NDC</w:t>
            </w:r>
          </w:p>
        </w:tc>
      </w:tr>
      <w:tr w:rsidR="00811B42" w:rsidRPr="004870C7" w14:paraId="6F1B76C2" w14:textId="77777777" w:rsidTr="00364123">
        <w:tc>
          <w:tcPr>
            <w:tcW w:w="1534" w:type="dxa"/>
            <w:shd w:val="clear" w:color="auto" w:fill="auto"/>
          </w:tcPr>
          <w:p w14:paraId="0DBE3CE4" w14:textId="7D62C09E" w:rsidR="00811B42" w:rsidRPr="00B54400" w:rsidRDefault="00811B42" w:rsidP="00811B42">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0</w:t>
            </w:r>
          </w:p>
        </w:tc>
        <w:tc>
          <w:tcPr>
            <w:tcW w:w="12856" w:type="dxa"/>
            <w:shd w:val="clear" w:color="auto" w:fill="auto"/>
          </w:tcPr>
          <w:p w14:paraId="56329F70" w14:textId="6AB379BD" w:rsidR="00811B42" w:rsidRPr="004870C7" w:rsidRDefault="00811B42" w:rsidP="00E54168">
            <w:pPr>
              <w:rPr>
                <w:rFonts w:asciiTheme="minorHAnsi" w:hAnsiTheme="minorHAnsi" w:cstheme="minorHAnsi"/>
                <w:bCs/>
                <w:sz w:val="18"/>
                <w:szCs w:val="18"/>
              </w:rPr>
            </w:pPr>
            <w:r w:rsidRPr="004870C7">
              <w:rPr>
                <w:rFonts w:asciiTheme="minorHAnsi" w:hAnsiTheme="minorHAnsi" w:cstheme="minorHAnsi"/>
                <w:bCs/>
                <w:sz w:val="18"/>
                <w:szCs w:val="18"/>
              </w:rPr>
              <w:t>Short term international consultant</w:t>
            </w:r>
            <w:r w:rsidR="001B2675" w:rsidRPr="004870C7">
              <w:rPr>
                <w:rFonts w:asciiTheme="minorHAnsi" w:hAnsiTheme="minorHAnsi" w:cstheme="minorHAnsi"/>
                <w:bCs/>
                <w:sz w:val="18"/>
                <w:szCs w:val="18"/>
              </w:rPr>
              <w:t>s</w:t>
            </w:r>
            <w:r w:rsidRPr="004870C7">
              <w:rPr>
                <w:rFonts w:asciiTheme="minorHAnsi" w:hAnsiTheme="minorHAnsi" w:cstheme="minorHAnsi"/>
                <w:bCs/>
                <w:sz w:val="18"/>
                <w:szCs w:val="18"/>
              </w:rPr>
              <w:t xml:space="preserve"> to work on V&amp;A, together with the national consultants’ team and provide necessary trainings/coaching</w:t>
            </w:r>
            <w:r w:rsidR="001B2675" w:rsidRPr="004870C7">
              <w:rPr>
                <w:rFonts w:asciiTheme="minorHAnsi" w:hAnsiTheme="minorHAnsi" w:cstheme="minorHAnsi"/>
                <w:bCs/>
                <w:sz w:val="18"/>
                <w:szCs w:val="18"/>
              </w:rPr>
              <w:t>, app. 80 working days/300 USD, in total 24</w:t>
            </w:r>
            <w:r w:rsidR="00C9580A" w:rsidRPr="004870C7">
              <w:rPr>
                <w:rFonts w:asciiTheme="minorHAnsi" w:hAnsiTheme="minorHAnsi" w:cstheme="minorHAnsi"/>
                <w:bCs/>
                <w:sz w:val="18"/>
                <w:szCs w:val="18"/>
              </w:rPr>
              <w:t>,</w:t>
            </w:r>
            <w:r w:rsidR="001B2675" w:rsidRPr="004870C7">
              <w:rPr>
                <w:rFonts w:asciiTheme="minorHAnsi" w:hAnsiTheme="minorHAnsi" w:cstheme="minorHAnsi"/>
                <w:bCs/>
                <w:sz w:val="18"/>
                <w:szCs w:val="18"/>
              </w:rPr>
              <w:t xml:space="preserve">000 USD for a period of three years.  </w:t>
            </w:r>
          </w:p>
        </w:tc>
      </w:tr>
      <w:tr w:rsidR="00811B42" w:rsidRPr="004870C7" w14:paraId="2CEA3378" w14:textId="77777777" w:rsidTr="00364123">
        <w:tc>
          <w:tcPr>
            <w:tcW w:w="1534" w:type="dxa"/>
            <w:shd w:val="clear" w:color="auto" w:fill="auto"/>
          </w:tcPr>
          <w:p w14:paraId="61DCBDDF" w14:textId="044DB49C" w:rsidR="00811B42" w:rsidRPr="00B54400" w:rsidRDefault="00811B42" w:rsidP="00811B42">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1</w:t>
            </w:r>
          </w:p>
        </w:tc>
        <w:tc>
          <w:tcPr>
            <w:tcW w:w="12856" w:type="dxa"/>
            <w:shd w:val="clear" w:color="auto" w:fill="auto"/>
          </w:tcPr>
          <w:p w14:paraId="6C6D01C7" w14:textId="35991F8E" w:rsidR="00811B42" w:rsidRPr="00CB0739" w:rsidRDefault="00811B42" w:rsidP="00E54168">
            <w:pPr>
              <w:rPr>
                <w:rFonts w:asciiTheme="minorHAnsi" w:hAnsiTheme="minorHAnsi" w:cstheme="minorHAnsi"/>
                <w:bCs/>
                <w:sz w:val="18"/>
                <w:szCs w:val="18"/>
              </w:rPr>
            </w:pPr>
            <w:r w:rsidRPr="00CB0739">
              <w:rPr>
                <w:rFonts w:asciiTheme="minorHAnsi" w:hAnsiTheme="minorHAnsi" w:cstheme="minorHAnsi"/>
                <w:bCs/>
                <w:sz w:val="18"/>
                <w:szCs w:val="18"/>
              </w:rPr>
              <w:t>Local consultants to work on vulnerability assessment and adaptation measures (in cooperation with international consultant)</w:t>
            </w:r>
            <w:r w:rsidR="00FD6B52" w:rsidRPr="00CB0739">
              <w:rPr>
                <w:rFonts w:asciiTheme="minorHAnsi" w:hAnsiTheme="minorHAnsi" w:cstheme="minorHAnsi"/>
                <w:bCs/>
                <w:sz w:val="18"/>
                <w:szCs w:val="18"/>
              </w:rPr>
              <w:t>, app. 210 working days/150 USD for various sectors</w:t>
            </w:r>
            <w:r w:rsidR="00C9580A" w:rsidRPr="00CB0739">
              <w:rPr>
                <w:rFonts w:asciiTheme="minorHAnsi" w:hAnsiTheme="minorHAnsi" w:cstheme="minorHAnsi"/>
                <w:bCs/>
                <w:sz w:val="18"/>
                <w:szCs w:val="18"/>
              </w:rPr>
              <w:t>,</w:t>
            </w:r>
            <w:r w:rsidR="00FD6B52" w:rsidRPr="00CB0739">
              <w:rPr>
                <w:rFonts w:asciiTheme="minorHAnsi" w:hAnsiTheme="minorHAnsi" w:cstheme="minorHAnsi"/>
                <w:bCs/>
                <w:sz w:val="18"/>
                <w:szCs w:val="18"/>
              </w:rPr>
              <w:t xml:space="preserve"> for period of three years</w:t>
            </w:r>
            <w:r w:rsidR="00C9580A" w:rsidRPr="00CB0739">
              <w:rPr>
                <w:rFonts w:asciiTheme="minorHAnsi" w:hAnsiTheme="minorHAnsi" w:cstheme="minorHAnsi"/>
                <w:bCs/>
                <w:sz w:val="18"/>
                <w:szCs w:val="18"/>
              </w:rPr>
              <w:t>, in the amount of 3</w:t>
            </w:r>
            <w:r w:rsidR="00764340">
              <w:rPr>
                <w:rFonts w:asciiTheme="minorHAnsi" w:hAnsiTheme="minorHAnsi" w:cstheme="minorHAnsi"/>
                <w:bCs/>
                <w:sz w:val="18"/>
                <w:szCs w:val="18"/>
              </w:rPr>
              <w:t>1</w:t>
            </w:r>
            <w:r w:rsidR="00C9580A" w:rsidRPr="00CB0739">
              <w:rPr>
                <w:rFonts w:asciiTheme="minorHAnsi" w:hAnsiTheme="minorHAnsi" w:cstheme="minorHAnsi"/>
                <w:bCs/>
                <w:sz w:val="18"/>
                <w:szCs w:val="18"/>
              </w:rPr>
              <w:t>,</w:t>
            </w:r>
            <w:r w:rsidR="00764340">
              <w:rPr>
                <w:rFonts w:asciiTheme="minorHAnsi" w:hAnsiTheme="minorHAnsi" w:cstheme="minorHAnsi"/>
                <w:bCs/>
                <w:sz w:val="18"/>
                <w:szCs w:val="18"/>
              </w:rPr>
              <w:t>5</w:t>
            </w:r>
            <w:r w:rsidR="00C9580A" w:rsidRPr="00CB0739">
              <w:rPr>
                <w:rFonts w:asciiTheme="minorHAnsi" w:hAnsiTheme="minorHAnsi" w:cstheme="minorHAnsi"/>
                <w:bCs/>
                <w:sz w:val="18"/>
                <w:szCs w:val="18"/>
              </w:rPr>
              <w:t>00 USD</w:t>
            </w:r>
            <w:r w:rsidR="00FD6B52" w:rsidRPr="00CB0739">
              <w:rPr>
                <w:rFonts w:asciiTheme="minorHAnsi" w:hAnsiTheme="minorHAnsi" w:cstheme="minorHAnsi"/>
                <w:bCs/>
                <w:sz w:val="18"/>
                <w:szCs w:val="18"/>
              </w:rPr>
              <w:t xml:space="preserve">  </w:t>
            </w:r>
          </w:p>
        </w:tc>
      </w:tr>
      <w:tr w:rsidR="00811B42" w:rsidRPr="004870C7" w14:paraId="71890B9E" w14:textId="77777777" w:rsidTr="00364123">
        <w:tc>
          <w:tcPr>
            <w:tcW w:w="1534" w:type="dxa"/>
            <w:shd w:val="clear" w:color="auto" w:fill="auto"/>
          </w:tcPr>
          <w:p w14:paraId="7454FBD3" w14:textId="5BD88950" w:rsidR="00811B42" w:rsidRPr="00B54400" w:rsidRDefault="00811B42" w:rsidP="00811B42">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2</w:t>
            </w:r>
          </w:p>
        </w:tc>
        <w:tc>
          <w:tcPr>
            <w:tcW w:w="12856" w:type="dxa"/>
            <w:shd w:val="clear" w:color="auto" w:fill="auto"/>
          </w:tcPr>
          <w:p w14:paraId="7B4DC4EF" w14:textId="0B3FB5E8" w:rsidR="00811B42" w:rsidRPr="004870C7" w:rsidRDefault="00C9580A" w:rsidP="00E54168">
            <w:pPr>
              <w:rPr>
                <w:rFonts w:asciiTheme="minorHAnsi" w:hAnsiTheme="minorHAnsi" w:cstheme="minorHAnsi"/>
                <w:bCs/>
                <w:sz w:val="18"/>
                <w:szCs w:val="18"/>
              </w:rPr>
            </w:pPr>
            <w:r w:rsidRPr="004870C7">
              <w:rPr>
                <w:rFonts w:asciiTheme="minorHAnsi" w:hAnsiTheme="minorHAnsi" w:cstheme="minorHAnsi"/>
                <w:bCs/>
                <w:sz w:val="18"/>
                <w:szCs w:val="18"/>
              </w:rPr>
              <w:t xml:space="preserve">Engagement of local/national companies to develop chapter on V&amp;A, together with the national/international consultants to be engaged for specific issues  </w:t>
            </w:r>
          </w:p>
        </w:tc>
      </w:tr>
      <w:tr w:rsidR="00364123" w:rsidRPr="004870C7" w14:paraId="243BC0A8" w14:textId="77777777" w:rsidTr="00364123">
        <w:tc>
          <w:tcPr>
            <w:tcW w:w="1534" w:type="dxa"/>
            <w:shd w:val="clear" w:color="auto" w:fill="auto"/>
          </w:tcPr>
          <w:p w14:paraId="0FA9D563" w14:textId="56E7BEA5" w:rsidR="00364123" w:rsidRPr="00B54400" w:rsidRDefault="00364123" w:rsidP="00364123">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3</w:t>
            </w:r>
          </w:p>
        </w:tc>
        <w:tc>
          <w:tcPr>
            <w:tcW w:w="12856" w:type="dxa"/>
            <w:shd w:val="clear" w:color="auto" w:fill="auto"/>
          </w:tcPr>
          <w:p w14:paraId="016BEBA5" w14:textId="0A24CF3C" w:rsidR="00364123" w:rsidRPr="004870C7" w:rsidRDefault="00364123" w:rsidP="00364123">
            <w:pPr>
              <w:rPr>
                <w:rFonts w:asciiTheme="minorHAnsi" w:hAnsiTheme="minorHAnsi" w:cstheme="minorHAnsi"/>
                <w:bCs/>
                <w:sz w:val="18"/>
                <w:szCs w:val="18"/>
              </w:rPr>
            </w:pPr>
            <w:r w:rsidRPr="004870C7">
              <w:rPr>
                <w:rFonts w:asciiTheme="minorHAnsi" w:hAnsiTheme="minorHAnsi" w:cstheme="minorHAnsi"/>
                <w:bCs/>
                <w:sz w:val="18"/>
                <w:szCs w:val="18"/>
              </w:rPr>
              <w:t>Translation costs during various meetings, and/or necessary promotion/education material related to climate change</w:t>
            </w:r>
          </w:p>
        </w:tc>
      </w:tr>
      <w:tr w:rsidR="00364123" w:rsidRPr="004870C7" w14:paraId="753397FD" w14:textId="77777777" w:rsidTr="00364123">
        <w:tc>
          <w:tcPr>
            <w:tcW w:w="1534" w:type="dxa"/>
            <w:shd w:val="clear" w:color="auto" w:fill="auto"/>
          </w:tcPr>
          <w:p w14:paraId="339BC8C3" w14:textId="237B2132" w:rsidR="00364123" w:rsidRPr="00B54400" w:rsidRDefault="00C9580A" w:rsidP="00364123">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4</w:t>
            </w:r>
          </w:p>
        </w:tc>
        <w:tc>
          <w:tcPr>
            <w:tcW w:w="12856" w:type="dxa"/>
            <w:shd w:val="clear" w:color="auto" w:fill="auto"/>
          </w:tcPr>
          <w:p w14:paraId="7A71A77E" w14:textId="74BD19B2" w:rsidR="00364123" w:rsidRPr="004870C7" w:rsidRDefault="00364123" w:rsidP="00364123">
            <w:pPr>
              <w:rPr>
                <w:rFonts w:asciiTheme="minorHAnsi" w:hAnsiTheme="minorHAnsi" w:cstheme="minorHAnsi"/>
                <w:bCs/>
                <w:sz w:val="18"/>
                <w:szCs w:val="18"/>
              </w:rPr>
            </w:pPr>
            <w:r w:rsidRPr="004870C7">
              <w:rPr>
                <w:rFonts w:asciiTheme="minorHAnsi" w:hAnsiTheme="minorHAnsi" w:cstheme="minorHAnsi"/>
                <w:bCs/>
                <w:sz w:val="18"/>
                <w:szCs w:val="18"/>
              </w:rPr>
              <w:t xml:space="preserve">Finalization and submission of the </w:t>
            </w:r>
            <w:r w:rsidR="004A3DFE" w:rsidRPr="004870C7">
              <w:rPr>
                <w:rFonts w:asciiTheme="minorHAnsi" w:hAnsiTheme="minorHAnsi" w:cstheme="minorHAnsi"/>
                <w:bCs/>
                <w:sz w:val="18"/>
                <w:szCs w:val="18"/>
              </w:rPr>
              <w:t>4NC/1BTR</w:t>
            </w:r>
            <w:r w:rsidRPr="004870C7">
              <w:rPr>
                <w:rFonts w:asciiTheme="minorHAnsi" w:hAnsiTheme="minorHAnsi" w:cstheme="minorHAnsi"/>
                <w:bCs/>
                <w:sz w:val="18"/>
                <w:szCs w:val="18"/>
              </w:rPr>
              <w:t xml:space="preserve"> (design, pre-print and </w:t>
            </w:r>
            <w:r w:rsidR="00C9580A" w:rsidRPr="004870C7">
              <w:rPr>
                <w:rFonts w:asciiTheme="minorHAnsi" w:hAnsiTheme="minorHAnsi" w:cstheme="minorHAnsi"/>
                <w:bCs/>
                <w:sz w:val="18"/>
                <w:szCs w:val="18"/>
              </w:rPr>
              <w:t>printing costs</w:t>
            </w:r>
            <w:r w:rsidRPr="004870C7">
              <w:rPr>
                <w:rFonts w:asciiTheme="minorHAnsi" w:hAnsiTheme="minorHAnsi" w:cstheme="minorHAnsi"/>
                <w:bCs/>
                <w:sz w:val="18"/>
                <w:szCs w:val="18"/>
              </w:rPr>
              <w:t>).</w:t>
            </w:r>
          </w:p>
        </w:tc>
      </w:tr>
      <w:tr w:rsidR="00364123" w:rsidRPr="004870C7" w14:paraId="28CF7AA4" w14:textId="77777777" w:rsidTr="00364123">
        <w:tc>
          <w:tcPr>
            <w:tcW w:w="1534" w:type="dxa"/>
            <w:shd w:val="clear" w:color="auto" w:fill="auto"/>
          </w:tcPr>
          <w:p w14:paraId="11C20DF2" w14:textId="584E7BC0" w:rsidR="00364123" w:rsidRPr="00B54400" w:rsidRDefault="00C9580A" w:rsidP="00364123">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5</w:t>
            </w:r>
          </w:p>
        </w:tc>
        <w:tc>
          <w:tcPr>
            <w:tcW w:w="12856" w:type="dxa"/>
            <w:shd w:val="clear" w:color="auto" w:fill="auto"/>
          </w:tcPr>
          <w:p w14:paraId="5C9DB256" w14:textId="62300F76" w:rsidR="00364123" w:rsidRPr="004870C7" w:rsidRDefault="00364123" w:rsidP="00364123">
            <w:pPr>
              <w:rPr>
                <w:rFonts w:asciiTheme="minorHAnsi" w:hAnsiTheme="minorHAnsi" w:cstheme="minorHAnsi"/>
                <w:bCs/>
                <w:sz w:val="18"/>
                <w:szCs w:val="18"/>
              </w:rPr>
            </w:pPr>
            <w:r w:rsidRPr="004870C7">
              <w:rPr>
                <w:rFonts w:asciiTheme="minorHAnsi" w:hAnsiTheme="minorHAnsi" w:cstheme="minorHAnsi"/>
                <w:bCs/>
                <w:sz w:val="18"/>
                <w:szCs w:val="18"/>
              </w:rPr>
              <w:t>Trainings, workshops, meetings for the purposes of knowledge sharing</w:t>
            </w:r>
          </w:p>
        </w:tc>
      </w:tr>
      <w:tr w:rsidR="00364123" w:rsidRPr="004870C7" w14:paraId="7F9197DB" w14:textId="77777777" w:rsidTr="00364123">
        <w:tc>
          <w:tcPr>
            <w:tcW w:w="1534" w:type="dxa"/>
            <w:shd w:val="clear" w:color="auto" w:fill="auto"/>
          </w:tcPr>
          <w:p w14:paraId="043C5C33" w14:textId="33B1185D" w:rsidR="00364123" w:rsidRPr="00B54400" w:rsidRDefault="00C9580A" w:rsidP="00364123">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6</w:t>
            </w:r>
          </w:p>
        </w:tc>
        <w:tc>
          <w:tcPr>
            <w:tcW w:w="12856" w:type="dxa"/>
            <w:shd w:val="clear" w:color="auto" w:fill="auto"/>
          </w:tcPr>
          <w:p w14:paraId="1AA9CFB2" w14:textId="7EE1D256" w:rsidR="00364123" w:rsidRPr="004870C7" w:rsidRDefault="00364123" w:rsidP="00364123">
            <w:pPr>
              <w:rPr>
                <w:rFonts w:asciiTheme="minorHAnsi" w:hAnsiTheme="minorHAnsi" w:cstheme="minorHAnsi"/>
                <w:bCs/>
                <w:sz w:val="18"/>
                <w:szCs w:val="18"/>
              </w:rPr>
            </w:pPr>
            <w:r w:rsidRPr="004870C7">
              <w:rPr>
                <w:rFonts w:asciiTheme="minorHAnsi" w:hAnsiTheme="minorHAnsi" w:cstheme="minorHAnsi"/>
                <w:bCs/>
                <w:sz w:val="18"/>
                <w:szCs w:val="18"/>
              </w:rPr>
              <w:t>Anticipated audit fee</w:t>
            </w:r>
          </w:p>
        </w:tc>
      </w:tr>
      <w:tr w:rsidR="00364123" w:rsidRPr="004870C7" w14:paraId="5A1E64A4" w14:textId="77777777" w:rsidTr="00364123">
        <w:tc>
          <w:tcPr>
            <w:tcW w:w="1534" w:type="dxa"/>
            <w:shd w:val="clear" w:color="auto" w:fill="auto"/>
          </w:tcPr>
          <w:p w14:paraId="556FD7F2" w14:textId="27F2E5E6" w:rsidR="00364123" w:rsidRPr="00B54400" w:rsidRDefault="00C9580A" w:rsidP="00364123">
            <w:pPr>
              <w:jc w:val="center"/>
              <w:rPr>
                <w:rFonts w:asciiTheme="minorHAnsi" w:hAnsiTheme="minorHAnsi" w:cstheme="minorHAnsi"/>
                <w:b/>
                <w:sz w:val="18"/>
                <w:szCs w:val="18"/>
              </w:rPr>
            </w:pPr>
            <w:r w:rsidRPr="00B54400">
              <w:rPr>
                <w:rFonts w:asciiTheme="minorHAnsi" w:hAnsiTheme="minorHAnsi" w:cstheme="minorHAnsi"/>
                <w:b/>
                <w:sz w:val="18"/>
                <w:szCs w:val="18"/>
              </w:rPr>
              <w:t>1</w:t>
            </w:r>
            <w:r w:rsidR="00F175FB" w:rsidRPr="00B54400">
              <w:rPr>
                <w:rFonts w:asciiTheme="minorHAnsi" w:hAnsiTheme="minorHAnsi" w:cstheme="minorHAnsi"/>
                <w:b/>
                <w:sz w:val="18"/>
                <w:szCs w:val="18"/>
              </w:rPr>
              <w:t>7</w:t>
            </w:r>
          </w:p>
        </w:tc>
        <w:tc>
          <w:tcPr>
            <w:tcW w:w="12856" w:type="dxa"/>
            <w:shd w:val="clear" w:color="auto" w:fill="auto"/>
          </w:tcPr>
          <w:p w14:paraId="3EBC553A" w14:textId="17247C94" w:rsidR="00364123" w:rsidRPr="004870C7" w:rsidRDefault="00364123" w:rsidP="00364123">
            <w:pPr>
              <w:rPr>
                <w:rFonts w:asciiTheme="minorHAnsi" w:hAnsiTheme="minorHAnsi" w:cstheme="minorHAnsi"/>
                <w:bCs/>
                <w:sz w:val="18"/>
                <w:szCs w:val="18"/>
              </w:rPr>
            </w:pPr>
            <w:r w:rsidRPr="004870C7">
              <w:rPr>
                <w:rFonts w:asciiTheme="minorHAnsi" w:hAnsiTheme="minorHAnsi" w:cstheme="minorHAnsi"/>
                <w:bCs/>
                <w:sz w:val="18"/>
                <w:szCs w:val="18"/>
              </w:rPr>
              <w:t>These funds will be used to cover salary of the project staff</w:t>
            </w:r>
            <w:r w:rsidR="007F24D7">
              <w:rPr>
                <w:rFonts w:asciiTheme="minorHAnsi" w:hAnsiTheme="minorHAnsi" w:cstheme="minorHAnsi"/>
                <w:bCs/>
                <w:sz w:val="18"/>
                <w:szCs w:val="18"/>
              </w:rPr>
              <w:t xml:space="preserve"> </w:t>
            </w:r>
            <w:r w:rsidR="00527E46">
              <w:rPr>
                <w:rFonts w:asciiTheme="minorHAnsi" w:hAnsiTheme="minorHAnsi" w:cstheme="minorHAnsi"/>
                <w:bCs/>
                <w:sz w:val="18"/>
                <w:szCs w:val="18"/>
              </w:rPr>
              <w:t>(</w:t>
            </w:r>
            <w:r w:rsidRPr="004870C7">
              <w:rPr>
                <w:rFonts w:asciiTheme="minorHAnsi" w:hAnsiTheme="minorHAnsi" w:cstheme="minorHAnsi"/>
                <w:bCs/>
                <w:sz w:val="18"/>
                <w:szCs w:val="18"/>
              </w:rPr>
              <w:t>project manager and project assistant</w:t>
            </w:r>
            <w:r w:rsidR="00527E46">
              <w:rPr>
                <w:rFonts w:asciiTheme="minorHAnsi" w:hAnsiTheme="minorHAnsi" w:cstheme="minorHAnsi"/>
                <w:bCs/>
                <w:sz w:val="18"/>
                <w:szCs w:val="18"/>
              </w:rPr>
              <w:t>)</w:t>
            </w:r>
            <w:r w:rsidRPr="004870C7">
              <w:rPr>
                <w:rFonts w:asciiTheme="minorHAnsi" w:hAnsiTheme="minorHAnsi" w:cstheme="minorHAnsi"/>
                <w:bCs/>
                <w:sz w:val="18"/>
                <w:szCs w:val="18"/>
              </w:rPr>
              <w:t>.</w:t>
            </w:r>
          </w:p>
        </w:tc>
      </w:tr>
    </w:tbl>
    <w:p w14:paraId="5D289F07" w14:textId="77777777" w:rsidR="00004AD0" w:rsidRDefault="00004AD0" w:rsidP="00470E9A">
      <w:pPr>
        <w:spacing w:after="0"/>
        <w:jc w:val="left"/>
        <w:rPr>
          <w:szCs w:val="28"/>
        </w:rPr>
        <w:sectPr w:rsidR="00004AD0" w:rsidSect="00740F26">
          <w:pgSz w:w="15840" w:h="12240" w:orient="landscape" w:code="1"/>
          <w:pgMar w:top="720" w:right="720" w:bottom="720" w:left="720" w:header="720" w:footer="432" w:gutter="0"/>
          <w:cols w:space="708"/>
          <w:titlePg/>
          <w:docGrid w:linePitch="360"/>
        </w:sectPr>
      </w:pPr>
    </w:p>
    <w:p w14:paraId="08C86E3D" w14:textId="77777777" w:rsidR="003E3ABA" w:rsidRPr="004870C7" w:rsidRDefault="003E3ABA" w:rsidP="003B2A79">
      <w:pPr>
        <w:pStyle w:val="Heading1"/>
        <w:spacing w:before="0" w:after="60"/>
        <w:rPr>
          <w:rFonts w:ascii="Calibri" w:hAnsi="Calibri"/>
          <w:szCs w:val="28"/>
        </w:rPr>
      </w:pPr>
      <w:bookmarkStart w:id="21" w:name="_Toc75965554"/>
      <w:r w:rsidRPr="004870C7">
        <w:rPr>
          <w:rFonts w:ascii="Calibri" w:hAnsi="Calibri"/>
          <w:szCs w:val="28"/>
        </w:rPr>
        <w:lastRenderedPageBreak/>
        <w:t>Legal Context</w:t>
      </w:r>
      <w:bookmarkEnd w:id="21"/>
    </w:p>
    <w:p w14:paraId="69C65693" w14:textId="77777777" w:rsidR="00CC32FB" w:rsidRPr="004870C7" w:rsidRDefault="00CC32FB" w:rsidP="00402743">
      <w:pPr>
        <w:rPr>
          <w:b/>
          <w:i/>
          <w:lang w:eastAsia="zh-CN"/>
        </w:rPr>
      </w:pPr>
      <w:bookmarkStart w:id="22" w:name="_Toc10449642"/>
    </w:p>
    <w:p w14:paraId="3FA0AD57" w14:textId="61392ED4" w:rsidR="006C181C" w:rsidRPr="004870C7" w:rsidRDefault="006C181C" w:rsidP="00402743">
      <w:pPr>
        <w:rPr>
          <w:b/>
        </w:rPr>
      </w:pPr>
      <w:r w:rsidRPr="004870C7">
        <w:rPr>
          <w:b/>
        </w:rPr>
        <w:t xml:space="preserve">Option a. Where the country has signed the </w:t>
      </w:r>
      <w:hyperlink r:id="rId29" w:tooltip="outbind://44/reference_centre/chapter5/sbaa.pdf" w:history="1">
        <w:r w:rsidRPr="004870C7">
          <w:rPr>
            <w:rStyle w:val="Hyperlink"/>
            <w:rFonts w:cs="Arial"/>
            <w:b/>
            <w:spacing w:val="-3"/>
            <w:szCs w:val="20"/>
          </w:rPr>
          <w:t>Standard Basic Assistance Agreement (SBAA)</w:t>
        </w:r>
        <w:bookmarkEnd w:id="22"/>
      </w:hyperlink>
      <w:r w:rsidRPr="004870C7">
        <w:rPr>
          <w:b/>
        </w:rPr>
        <w:t xml:space="preserve"> </w:t>
      </w:r>
    </w:p>
    <w:p w14:paraId="1226AE49" w14:textId="2313DA7A" w:rsidR="006C181C" w:rsidRPr="004870C7" w:rsidRDefault="006C181C" w:rsidP="00983641">
      <w:pPr>
        <w:spacing w:after="0"/>
        <w:rPr>
          <w:rFonts w:cs="Arial"/>
          <w:szCs w:val="20"/>
        </w:rPr>
      </w:pPr>
      <w:r w:rsidRPr="004870C7">
        <w:rPr>
          <w:rFonts w:cs="Arial"/>
          <w:szCs w:val="20"/>
        </w:rPr>
        <w:t xml:space="preserve">This project document shall be the instrument referred to as such in Article 1 of the Standard Basic Assistance Agreement between the Government of </w:t>
      </w:r>
      <w:r w:rsidR="00644694" w:rsidRPr="004870C7">
        <w:rPr>
          <w:rFonts w:cs="Arial"/>
          <w:szCs w:val="20"/>
        </w:rPr>
        <w:t>Montenegro</w:t>
      </w:r>
      <w:r w:rsidRPr="004870C7">
        <w:rPr>
          <w:rFonts w:cs="Arial"/>
          <w:szCs w:val="20"/>
        </w:rPr>
        <w:t xml:space="preserve"> and UNDP, signed on</w:t>
      </w:r>
      <w:r w:rsidR="00C12E61" w:rsidRPr="004870C7">
        <w:rPr>
          <w:rFonts w:cs="Arial"/>
          <w:szCs w:val="20"/>
        </w:rPr>
        <w:t xml:space="preserve"> 15</w:t>
      </w:r>
      <w:r w:rsidR="00C12E61" w:rsidRPr="004870C7">
        <w:rPr>
          <w:rFonts w:cs="Arial"/>
          <w:szCs w:val="20"/>
          <w:vertAlign w:val="superscript"/>
        </w:rPr>
        <w:t>th</w:t>
      </w:r>
      <w:r w:rsidR="00C12E61" w:rsidRPr="004870C7">
        <w:rPr>
          <w:rFonts w:cs="Arial"/>
          <w:szCs w:val="20"/>
        </w:rPr>
        <w:t xml:space="preserve"> December 2006. </w:t>
      </w:r>
      <w:r w:rsidRPr="004870C7">
        <w:rPr>
          <w:rFonts w:cs="Arial"/>
          <w:szCs w:val="20"/>
        </w:rPr>
        <w:t>All references in the SBAA to “Executing Agency” shall be deemed to refer to “Implementing Partner.”</w:t>
      </w:r>
    </w:p>
    <w:p w14:paraId="70F8EB87" w14:textId="77777777" w:rsidR="006C181C" w:rsidRPr="004870C7" w:rsidRDefault="006C181C" w:rsidP="00983641">
      <w:pPr>
        <w:spacing w:after="0"/>
        <w:rPr>
          <w:rFonts w:cs="Arial"/>
          <w:szCs w:val="20"/>
        </w:rPr>
      </w:pPr>
    </w:p>
    <w:p w14:paraId="49062699" w14:textId="64C4CE4B" w:rsidR="00450470" w:rsidRPr="004870C7" w:rsidRDefault="006C181C" w:rsidP="00983641">
      <w:pPr>
        <w:spacing w:after="0"/>
        <w:rPr>
          <w:rFonts w:cs="Arial"/>
          <w:szCs w:val="20"/>
        </w:rPr>
      </w:pPr>
      <w:r w:rsidRPr="004870C7">
        <w:rPr>
          <w:rFonts w:cs="Arial"/>
          <w:szCs w:val="20"/>
        </w:rPr>
        <w:t xml:space="preserve">This project will be implemented by </w:t>
      </w:r>
      <w:r w:rsidR="00EB0015" w:rsidRPr="004870C7">
        <w:rPr>
          <w:rFonts w:cs="Arial"/>
          <w:szCs w:val="20"/>
        </w:rPr>
        <w:t xml:space="preserve">Ministry of Ecology, Spatial Planning and Urbanism </w:t>
      </w:r>
      <w:r w:rsidRPr="004870C7">
        <w:rPr>
          <w:rFonts w:cs="Arial"/>
          <w:szCs w:val="20"/>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3D295F19" w14:textId="77777777" w:rsidR="00450470" w:rsidRPr="004870C7" w:rsidRDefault="00450470" w:rsidP="00983641">
      <w:pPr>
        <w:spacing w:after="0"/>
        <w:rPr>
          <w:szCs w:val="20"/>
        </w:rPr>
      </w:pPr>
    </w:p>
    <w:p w14:paraId="5334CECA" w14:textId="45198615" w:rsidR="000019F5" w:rsidRPr="004870C7" w:rsidRDefault="003252B7" w:rsidP="00983641">
      <w:pPr>
        <w:spacing w:after="0"/>
        <w:rPr>
          <w:rFonts w:eastAsia="Times New Roman"/>
          <w:szCs w:val="22"/>
        </w:rPr>
      </w:pPr>
      <w:r w:rsidRPr="004870C7">
        <w:rPr>
          <w:rFonts w:eastAsia="Times New Roman"/>
          <w:iCs/>
          <w:color w:val="000000"/>
        </w:rPr>
        <w:t>The designations employed and the presentation of material on this map do not imply the expression of any opinion whatsoever on the part of the Secretariat of the United Nations or UNDP concerning the legal status of any country, territory, city or area or its authorities, or concerning the delimitation of its frontiers or boundaries.</w:t>
      </w:r>
    </w:p>
    <w:p w14:paraId="031C5111" w14:textId="24D284B3" w:rsidR="00983641" w:rsidRPr="004870C7" w:rsidRDefault="00983641">
      <w:pPr>
        <w:spacing w:after="0"/>
        <w:jc w:val="left"/>
        <w:rPr>
          <w:rFonts w:cs="Arial"/>
          <w:iCs/>
          <w:szCs w:val="20"/>
        </w:rPr>
      </w:pPr>
      <w:r w:rsidRPr="004870C7">
        <w:rPr>
          <w:rFonts w:cs="Arial"/>
          <w:iCs/>
          <w:szCs w:val="20"/>
        </w:rPr>
        <w:br w:type="page"/>
      </w:r>
    </w:p>
    <w:p w14:paraId="34796977" w14:textId="77777777" w:rsidR="00CF6A84" w:rsidRPr="004870C7" w:rsidRDefault="00CF6A84" w:rsidP="00983641">
      <w:pPr>
        <w:spacing w:after="0"/>
        <w:jc w:val="left"/>
        <w:rPr>
          <w:szCs w:val="20"/>
        </w:rPr>
      </w:pPr>
    </w:p>
    <w:p w14:paraId="54F261AB" w14:textId="77777777" w:rsidR="00A94FFC" w:rsidRPr="004870C7" w:rsidRDefault="00A94FFC" w:rsidP="00E223D9">
      <w:pPr>
        <w:pStyle w:val="Heading1"/>
        <w:spacing w:before="0" w:after="60"/>
        <w:jc w:val="left"/>
        <w:rPr>
          <w:rFonts w:ascii="Calibri" w:hAnsi="Calibri"/>
          <w:szCs w:val="28"/>
        </w:rPr>
      </w:pPr>
      <w:bookmarkStart w:id="23" w:name="_Toc75965555"/>
      <w:r w:rsidRPr="004870C7">
        <w:rPr>
          <w:rFonts w:ascii="Calibri" w:hAnsi="Calibri"/>
          <w:szCs w:val="28"/>
        </w:rPr>
        <w:t>Risk Management</w:t>
      </w:r>
      <w:bookmarkEnd w:id="23"/>
    </w:p>
    <w:p w14:paraId="63C9480C" w14:textId="77777777" w:rsidR="00CC32FB" w:rsidRPr="004870C7" w:rsidRDefault="00CC32FB" w:rsidP="00BC3D94">
      <w:pPr>
        <w:rPr>
          <w:b/>
          <w:i/>
          <w:lang w:eastAsia="zh-CN"/>
        </w:rPr>
      </w:pPr>
    </w:p>
    <w:p w14:paraId="301669DF" w14:textId="3BDDD88A" w:rsidR="006C181C" w:rsidRPr="004870C7" w:rsidRDefault="006C181C" w:rsidP="00BC3D94">
      <w:pPr>
        <w:rPr>
          <w:b/>
        </w:rPr>
      </w:pPr>
      <w:r w:rsidRPr="004870C7">
        <w:rPr>
          <w:b/>
        </w:rPr>
        <w:t xml:space="preserve">Option a. </w:t>
      </w:r>
      <w:r w:rsidR="008155AC" w:rsidRPr="004870C7">
        <w:rPr>
          <w:b/>
        </w:rPr>
        <w:t xml:space="preserve">Implementing Partner is a </w:t>
      </w:r>
      <w:r w:rsidRPr="004870C7">
        <w:rPr>
          <w:b/>
        </w:rPr>
        <w:t>Government Entity (NIM)</w:t>
      </w:r>
    </w:p>
    <w:p w14:paraId="48C8FA5A" w14:textId="77777777" w:rsidR="00CC32FB" w:rsidRPr="004870C7" w:rsidRDefault="00CC32FB" w:rsidP="00BC3D94">
      <w:pPr>
        <w:rPr>
          <w:b/>
        </w:rPr>
      </w:pPr>
    </w:p>
    <w:p w14:paraId="66E85A6A" w14:textId="6D2B0309" w:rsidR="006C181C" w:rsidRPr="004870C7" w:rsidRDefault="006C181C" w:rsidP="00C80734">
      <w:pPr>
        <w:pStyle w:val="ListParagraph"/>
        <w:numPr>
          <w:ilvl w:val="0"/>
          <w:numId w:val="17"/>
        </w:numPr>
        <w:ind w:left="360"/>
        <w:jc w:val="both"/>
        <w:rPr>
          <w:rFonts w:ascii="Calibri" w:hAnsi="Calibri" w:cs="Arial"/>
          <w:sz w:val="20"/>
          <w:szCs w:val="20"/>
        </w:rPr>
      </w:pPr>
      <w:r w:rsidRPr="004870C7">
        <w:rPr>
          <w:rFonts w:ascii="Calibri" w:hAnsi="Calibri" w:cs="Arial"/>
          <w:sz w:val="20"/>
          <w:szCs w:val="20"/>
        </w:rPr>
        <w:t>Consistent with the Article III of the SBAA, the responsibility for the safety and security of the Implementing Partner and its personnel and property, and of UNDP’s property in the Implementing Partner’s custody, rests with the Implementing Partner.  To this end, the Implementing Partner shall:</w:t>
      </w:r>
    </w:p>
    <w:p w14:paraId="7AE17C81" w14:textId="77777777" w:rsidR="006C181C" w:rsidRPr="004870C7" w:rsidRDefault="006C181C" w:rsidP="00C80734">
      <w:pPr>
        <w:numPr>
          <w:ilvl w:val="0"/>
          <w:numId w:val="12"/>
        </w:numPr>
        <w:rPr>
          <w:rFonts w:cs="Arial"/>
          <w:szCs w:val="20"/>
        </w:rPr>
      </w:pPr>
      <w:r w:rsidRPr="004870C7">
        <w:rPr>
          <w:rFonts w:cs="Arial"/>
          <w:szCs w:val="20"/>
        </w:rPr>
        <w:t>put in place an appropriate security plan and maintain the security plan, taking into account the security situation in the country where the project is being carried;</w:t>
      </w:r>
    </w:p>
    <w:p w14:paraId="37726590" w14:textId="77777777" w:rsidR="006C181C" w:rsidRPr="004870C7" w:rsidRDefault="006C181C" w:rsidP="00C80734">
      <w:pPr>
        <w:numPr>
          <w:ilvl w:val="0"/>
          <w:numId w:val="12"/>
        </w:numPr>
        <w:rPr>
          <w:rFonts w:cs="Arial"/>
          <w:szCs w:val="20"/>
        </w:rPr>
      </w:pPr>
      <w:r w:rsidRPr="004870C7">
        <w:rPr>
          <w:rFonts w:cs="Arial"/>
          <w:szCs w:val="20"/>
        </w:rPr>
        <w:t>assume all risks and liabilities related to the Implementing Partner’s security, and the full implementation of the security plan.</w:t>
      </w:r>
    </w:p>
    <w:p w14:paraId="3AAF132A" w14:textId="77777777" w:rsidR="006C181C" w:rsidRPr="004870C7" w:rsidRDefault="006C181C" w:rsidP="00C80734">
      <w:pPr>
        <w:rPr>
          <w:rFonts w:cs="Arial"/>
          <w:szCs w:val="20"/>
        </w:rPr>
      </w:pPr>
    </w:p>
    <w:p w14:paraId="697F0188" w14:textId="77777777" w:rsidR="006C181C" w:rsidRPr="004870C7" w:rsidRDefault="006C181C" w:rsidP="00C80734">
      <w:pPr>
        <w:pStyle w:val="ListParagraph"/>
        <w:numPr>
          <w:ilvl w:val="0"/>
          <w:numId w:val="17"/>
        </w:numPr>
        <w:ind w:left="360"/>
        <w:jc w:val="both"/>
        <w:rPr>
          <w:rFonts w:ascii="Calibri" w:hAnsi="Calibri" w:cs="Arial"/>
          <w:sz w:val="20"/>
          <w:szCs w:val="20"/>
        </w:rPr>
      </w:pPr>
      <w:r w:rsidRPr="004870C7">
        <w:rPr>
          <w:rFonts w:ascii="Calibri" w:hAnsi="Calibri" w:cs="Arial"/>
          <w:sz w:val="20"/>
          <w:szCs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486A9EFD" w14:textId="77777777" w:rsidR="006C181C" w:rsidRPr="004870C7" w:rsidRDefault="006C181C" w:rsidP="00C80734">
      <w:pPr>
        <w:ind w:left="360"/>
        <w:rPr>
          <w:rFonts w:cs="Arial"/>
          <w:szCs w:val="20"/>
        </w:rPr>
      </w:pPr>
    </w:p>
    <w:p w14:paraId="3D622EEB" w14:textId="77777777" w:rsidR="006C181C" w:rsidRPr="004870C7" w:rsidRDefault="006C181C" w:rsidP="00C80734">
      <w:pPr>
        <w:pStyle w:val="ListParagraph"/>
        <w:numPr>
          <w:ilvl w:val="0"/>
          <w:numId w:val="17"/>
        </w:numPr>
        <w:ind w:left="360"/>
        <w:jc w:val="both"/>
        <w:rPr>
          <w:rFonts w:asciiTheme="minorHAnsi" w:hAnsiTheme="minorHAnsi" w:cstheme="minorHAnsi"/>
          <w:sz w:val="20"/>
          <w:szCs w:val="20"/>
        </w:rPr>
      </w:pPr>
      <w:r w:rsidRPr="004870C7">
        <w:rPr>
          <w:rFonts w:ascii="Calibri" w:hAnsi="Calibri" w:cs="Arial"/>
          <w:sz w:val="20"/>
          <w:szCs w:val="20"/>
        </w:rPr>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w:t>
      </w:r>
      <w:r w:rsidRPr="004870C7">
        <w:rPr>
          <w:rFonts w:asciiTheme="minorHAnsi" w:hAnsiTheme="minorHAnsi" w:cstheme="minorHAnsi"/>
          <w:sz w:val="20"/>
          <w:szCs w:val="20"/>
        </w:rPr>
        <w:t xml:space="preserve">accessed via </w:t>
      </w:r>
      <w:hyperlink r:id="rId30" w:history="1">
        <w:r w:rsidRPr="004870C7">
          <w:rPr>
            <w:rStyle w:val="Hyperlink"/>
            <w:rFonts w:asciiTheme="minorHAnsi" w:hAnsiTheme="minorHAnsi" w:cstheme="minorHAnsi"/>
            <w:sz w:val="20"/>
            <w:szCs w:val="20"/>
          </w:rPr>
          <w:t>http://www.un.org/sc/committees/1267/aq_sanctions_list.shtml</w:t>
        </w:r>
      </w:hyperlink>
      <w:r w:rsidRPr="004870C7">
        <w:rPr>
          <w:rFonts w:asciiTheme="minorHAnsi" w:hAnsiTheme="minorHAnsi" w:cstheme="minorHAnsi"/>
          <w:color w:val="000080"/>
          <w:sz w:val="20"/>
          <w:szCs w:val="20"/>
        </w:rPr>
        <w:t>.</w:t>
      </w:r>
      <w:r w:rsidRPr="004870C7">
        <w:rPr>
          <w:rFonts w:asciiTheme="minorHAnsi" w:hAnsiTheme="minorHAnsi" w:cstheme="minorHAnsi"/>
          <w:sz w:val="20"/>
          <w:szCs w:val="20"/>
        </w:rPr>
        <w:t xml:space="preserve">  </w:t>
      </w:r>
    </w:p>
    <w:p w14:paraId="7AAED37F" w14:textId="77777777" w:rsidR="006C181C" w:rsidRPr="004870C7" w:rsidRDefault="006C181C" w:rsidP="00C80734">
      <w:pPr>
        <w:pStyle w:val="ListParagraph"/>
        <w:ind w:left="360"/>
        <w:jc w:val="both"/>
        <w:rPr>
          <w:rFonts w:asciiTheme="minorHAnsi" w:hAnsiTheme="minorHAnsi" w:cstheme="minorHAnsi"/>
          <w:sz w:val="20"/>
          <w:szCs w:val="20"/>
        </w:rPr>
      </w:pPr>
    </w:p>
    <w:p w14:paraId="2B82BBDF" w14:textId="77777777" w:rsidR="002F49B6" w:rsidRPr="004870C7" w:rsidRDefault="002F49B6" w:rsidP="00C80734">
      <w:pPr>
        <w:pStyle w:val="ListParagraph"/>
        <w:numPr>
          <w:ilvl w:val="0"/>
          <w:numId w:val="17"/>
        </w:numPr>
        <w:spacing w:after="240"/>
        <w:ind w:left="360"/>
        <w:jc w:val="both"/>
        <w:rPr>
          <w:rFonts w:asciiTheme="minorHAnsi" w:hAnsiTheme="minorHAnsi" w:cstheme="minorHAnsi"/>
          <w:sz w:val="20"/>
          <w:szCs w:val="20"/>
        </w:rPr>
      </w:pPr>
      <w:r w:rsidRPr="004870C7">
        <w:rPr>
          <w:rFonts w:asciiTheme="minorHAnsi" w:hAnsiTheme="minorHAnsi" w:cstheme="minorHAnsi"/>
          <w:sz w:val="20"/>
          <w:szCs w:val="20"/>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516E2B4F" w14:textId="77777777" w:rsidR="002F49B6" w:rsidRPr="004870C7" w:rsidRDefault="002F49B6" w:rsidP="00C80734">
      <w:pPr>
        <w:pStyle w:val="ListParagraph"/>
        <w:spacing w:after="240"/>
        <w:ind w:left="360"/>
        <w:jc w:val="both"/>
        <w:rPr>
          <w:rFonts w:asciiTheme="minorHAnsi" w:hAnsiTheme="minorHAnsi" w:cstheme="minorHAnsi"/>
          <w:sz w:val="20"/>
          <w:szCs w:val="20"/>
        </w:rPr>
      </w:pPr>
      <w:r w:rsidRPr="004870C7">
        <w:rPr>
          <w:rFonts w:asciiTheme="minorHAnsi" w:hAnsiTheme="minorHAnsi" w:cstheme="minorHAnsi"/>
          <w:sz w:val="20"/>
          <w:szCs w:val="20"/>
        </w:rPr>
        <w:t xml:space="preserve"> (a)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0A80529D" w14:textId="77777777" w:rsidR="002F49B6" w:rsidRPr="004870C7" w:rsidRDefault="002F49B6" w:rsidP="00C80734">
      <w:pPr>
        <w:pStyle w:val="ListParagraph"/>
        <w:spacing w:after="240"/>
        <w:ind w:left="360"/>
        <w:jc w:val="both"/>
        <w:rPr>
          <w:rFonts w:asciiTheme="minorHAnsi" w:hAnsiTheme="minorHAnsi" w:cstheme="minorHAnsi"/>
          <w:sz w:val="20"/>
          <w:szCs w:val="20"/>
        </w:rPr>
      </w:pPr>
      <w:r w:rsidRPr="004870C7">
        <w:rPr>
          <w:rFonts w:asciiTheme="minorHAnsi" w:hAnsiTheme="minorHAnsi" w:cstheme="minorHAnsi"/>
          <w:sz w:val="20"/>
          <w:szCs w:val="20"/>
        </w:rPr>
        <w:t>(b)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w:t>
      </w:r>
    </w:p>
    <w:p w14:paraId="6F9BE950" w14:textId="77777777" w:rsidR="0033584C" w:rsidRPr="004870C7" w:rsidRDefault="0033584C" w:rsidP="00C80734">
      <w:pPr>
        <w:pStyle w:val="ListParagraph"/>
        <w:numPr>
          <w:ilvl w:val="0"/>
          <w:numId w:val="17"/>
        </w:numPr>
        <w:spacing w:after="240"/>
        <w:ind w:left="360"/>
        <w:jc w:val="both"/>
        <w:rPr>
          <w:rFonts w:asciiTheme="minorHAnsi" w:hAnsiTheme="minorHAnsi" w:cstheme="minorHAnsi"/>
          <w:sz w:val="20"/>
          <w:szCs w:val="20"/>
        </w:rPr>
      </w:pPr>
      <w:r w:rsidRPr="004870C7">
        <w:rPr>
          <w:rFonts w:asciiTheme="minorHAnsi" w:hAnsiTheme="minorHAnsi" w:cstheme="minorHAnsi"/>
          <w:sz w:val="20"/>
          <w:szCs w:val="20"/>
        </w:rPr>
        <w:t>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4B529C1F" w14:textId="77777777" w:rsidR="0033584C" w:rsidRPr="004870C7" w:rsidRDefault="0033584C" w:rsidP="00C80734">
      <w:pPr>
        <w:pStyle w:val="ListParagraph"/>
        <w:numPr>
          <w:ilvl w:val="1"/>
          <w:numId w:val="18"/>
        </w:numPr>
        <w:spacing w:after="240"/>
        <w:jc w:val="both"/>
        <w:rPr>
          <w:rFonts w:asciiTheme="minorHAnsi" w:hAnsiTheme="minorHAnsi" w:cstheme="minorHAnsi"/>
          <w:sz w:val="20"/>
          <w:szCs w:val="20"/>
        </w:rPr>
      </w:pPr>
      <w:r w:rsidRPr="004870C7">
        <w:rPr>
          <w:rFonts w:asciiTheme="minorHAnsi" w:hAnsiTheme="minorHAnsi" w:cstheme="minorHAnsi"/>
          <w:sz w:val="20"/>
          <w:szCs w:val="20"/>
        </w:rPr>
        <w:lastRenderedPageBreak/>
        <w:t>Prevent its employees, agents or any other persons engaged to perform any services under this Project Document, from engaging in SH or SEA;</w:t>
      </w:r>
    </w:p>
    <w:p w14:paraId="3B3C270E" w14:textId="77777777" w:rsidR="0033584C" w:rsidRPr="004870C7" w:rsidRDefault="0033584C" w:rsidP="00C80734">
      <w:pPr>
        <w:pStyle w:val="ListParagraph"/>
        <w:numPr>
          <w:ilvl w:val="1"/>
          <w:numId w:val="18"/>
        </w:numPr>
        <w:spacing w:after="240"/>
        <w:jc w:val="both"/>
        <w:rPr>
          <w:rFonts w:asciiTheme="minorHAnsi" w:hAnsiTheme="minorHAnsi" w:cstheme="minorHAnsi"/>
          <w:sz w:val="20"/>
          <w:szCs w:val="20"/>
        </w:rPr>
      </w:pPr>
      <w:r w:rsidRPr="004870C7">
        <w:rPr>
          <w:rFonts w:asciiTheme="minorHAnsi" w:hAnsiTheme="minorHAnsi" w:cstheme="minorHAnsi"/>
          <w:sz w:val="20"/>
          <w:szCs w:val="20"/>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its sub-parties may use the training material available at UNDP;</w:t>
      </w:r>
    </w:p>
    <w:p w14:paraId="0DB31D1B" w14:textId="77777777" w:rsidR="0033584C" w:rsidRPr="004870C7" w:rsidRDefault="0033584C" w:rsidP="00C80734">
      <w:pPr>
        <w:pStyle w:val="ListParagraph"/>
        <w:numPr>
          <w:ilvl w:val="1"/>
          <w:numId w:val="18"/>
        </w:numPr>
        <w:spacing w:after="240"/>
        <w:jc w:val="both"/>
        <w:rPr>
          <w:rFonts w:asciiTheme="minorHAnsi" w:hAnsiTheme="minorHAnsi" w:cstheme="minorHAnsi"/>
          <w:sz w:val="20"/>
          <w:szCs w:val="20"/>
        </w:rPr>
      </w:pPr>
      <w:r w:rsidRPr="004870C7">
        <w:rPr>
          <w:rFonts w:asciiTheme="minorHAnsi" w:hAnsiTheme="minorHAnsi" w:cstheme="minorHAnsi"/>
          <w:sz w:val="20"/>
          <w:szCs w:val="20"/>
        </w:rPr>
        <w:t xml:space="preserve">Report and monitor allegations of SH and SEA of which the Implementing Partner and its sub-parties referred to in paragraph 4 have been informed or have otherwise become aware, and status thereof; </w:t>
      </w:r>
    </w:p>
    <w:p w14:paraId="2B704032" w14:textId="77777777" w:rsidR="0033584C" w:rsidRPr="004870C7" w:rsidRDefault="0033584C" w:rsidP="00C80734">
      <w:pPr>
        <w:pStyle w:val="ListParagraph"/>
        <w:numPr>
          <w:ilvl w:val="1"/>
          <w:numId w:val="18"/>
        </w:numPr>
        <w:spacing w:after="240"/>
        <w:jc w:val="both"/>
        <w:rPr>
          <w:rFonts w:asciiTheme="minorHAnsi" w:hAnsiTheme="minorHAnsi" w:cstheme="minorHAnsi"/>
          <w:sz w:val="20"/>
          <w:szCs w:val="20"/>
        </w:rPr>
      </w:pPr>
      <w:r w:rsidRPr="004870C7">
        <w:rPr>
          <w:rFonts w:asciiTheme="minorHAnsi" w:hAnsiTheme="minorHAnsi" w:cstheme="minorHAnsi"/>
          <w:sz w:val="20"/>
          <w:szCs w:val="20"/>
        </w:rPr>
        <w:t>Refer victims/survivors of SH and SEA to safe and confidential victim assistance; and</w:t>
      </w:r>
    </w:p>
    <w:p w14:paraId="0C5B7829" w14:textId="77777777" w:rsidR="0033584C" w:rsidRPr="004870C7" w:rsidRDefault="0033584C" w:rsidP="00C80734">
      <w:pPr>
        <w:pStyle w:val="ListParagraph"/>
        <w:numPr>
          <w:ilvl w:val="1"/>
          <w:numId w:val="18"/>
        </w:numPr>
        <w:spacing w:after="240"/>
        <w:jc w:val="both"/>
        <w:rPr>
          <w:rFonts w:asciiTheme="minorHAnsi" w:hAnsiTheme="minorHAnsi" w:cstheme="minorHAnsi"/>
          <w:sz w:val="20"/>
          <w:szCs w:val="20"/>
        </w:rPr>
      </w:pPr>
      <w:r w:rsidRPr="004870C7">
        <w:rPr>
          <w:rFonts w:asciiTheme="minorHAnsi" w:hAnsiTheme="minorHAnsi" w:cstheme="minorHAnsi"/>
          <w:sz w:val="20"/>
          <w:szCs w:val="20"/>
        </w:rPr>
        <w:t xml:space="preserve">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(i)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4AEF44CF" w14:textId="582FA6AB" w:rsidR="0033584C" w:rsidRPr="004870C7" w:rsidRDefault="0033584C" w:rsidP="00C80734">
      <w:pPr>
        <w:pStyle w:val="ListParagraph"/>
        <w:numPr>
          <w:ilvl w:val="0"/>
          <w:numId w:val="23"/>
        </w:numPr>
        <w:spacing w:after="240"/>
        <w:jc w:val="both"/>
        <w:rPr>
          <w:rFonts w:asciiTheme="minorHAnsi" w:hAnsiTheme="minorHAnsi" w:cstheme="minorHAnsi"/>
          <w:sz w:val="20"/>
          <w:szCs w:val="20"/>
        </w:rPr>
      </w:pPr>
      <w:r w:rsidRPr="004870C7">
        <w:rPr>
          <w:rFonts w:asciiTheme="minorHAnsi" w:hAnsiTheme="minorHAnsi" w:cstheme="minorHAnsi"/>
          <w:sz w:val="20"/>
          <w:szCs w:val="20"/>
        </w:rPr>
        <w:t>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1447F124" w14:textId="77777777" w:rsidR="006C181C" w:rsidRPr="004870C7" w:rsidRDefault="006C181C" w:rsidP="00C80734">
      <w:pPr>
        <w:pStyle w:val="ListParagraph"/>
        <w:numPr>
          <w:ilvl w:val="0"/>
          <w:numId w:val="17"/>
        </w:numPr>
        <w:spacing w:after="240"/>
        <w:ind w:left="450" w:hanging="450"/>
        <w:jc w:val="both"/>
        <w:rPr>
          <w:rFonts w:ascii="Calibri" w:hAnsi="Calibri" w:cs="Arial"/>
          <w:sz w:val="20"/>
          <w:szCs w:val="20"/>
          <w:u w:val="single"/>
        </w:rPr>
      </w:pPr>
      <w:r w:rsidRPr="004870C7">
        <w:rPr>
          <w:rFonts w:ascii="Calibri" w:hAnsi="Calibri" w:cs="Arial"/>
          <w:sz w:val="20"/>
          <w:szCs w:val="20"/>
        </w:rPr>
        <w:t xml:space="preserve">Social and environmental sustainability will be enhanced through application of the UNDP Social and Environmental Standards (http://www.undp.org/ses) and related Accountability Mechanism (http://www.undp.org/secu-srm).  </w:t>
      </w:r>
      <w:r w:rsidRPr="004870C7">
        <w:rPr>
          <w:rFonts w:ascii="Calibri" w:hAnsi="Calibri" w:cs="Arial"/>
          <w:color w:val="000000"/>
          <w:sz w:val="20"/>
          <w:szCs w:val="20"/>
        </w:rPr>
        <w:t> </w:t>
      </w:r>
    </w:p>
    <w:p w14:paraId="26FAB418" w14:textId="77777777" w:rsidR="006C181C" w:rsidRPr="004870C7" w:rsidRDefault="006C181C" w:rsidP="00C80734">
      <w:pPr>
        <w:pStyle w:val="Default"/>
        <w:numPr>
          <w:ilvl w:val="0"/>
          <w:numId w:val="17"/>
        </w:numPr>
        <w:ind w:left="360"/>
        <w:jc w:val="both"/>
        <w:rPr>
          <w:rFonts w:ascii="Calibri" w:hAnsi="Calibri"/>
          <w:sz w:val="20"/>
          <w:szCs w:val="20"/>
        </w:rPr>
      </w:pPr>
      <w:r w:rsidRPr="004870C7">
        <w:rPr>
          <w:rFonts w:ascii="Calibri" w:hAnsi="Calibri"/>
          <w:color w:val="101010"/>
          <w:spacing w:val="-6"/>
          <w:kern w:val="1"/>
          <w:sz w:val="20"/>
          <w:szCs w:val="20"/>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4870C7">
        <w:rPr>
          <w:rFonts w:ascii="Calibri" w:hAnsi="Calibri"/>
          <w:color w:val="141414"/>
          <w:spacing w:val="-4"/>
          <w:sz w:val="20"/>
          <w:szCs w:val="20"/>
        </w:rPr>
        <w:t>UNDP</w:t>
      </w:r>
      <w:r w:rsidRPr="004870C7">
        <w:rPr>
          <w:rFonts w:ascii="Calibri" w:hAnsi="Calibri"/>
          <w:sz w:val="20"/>
          <w:szCs w:val="20"/>
        </w:rPr>
        <w:t xml:space="preserve"> will seek to ensure that communities and other project stakeholders are informed of and have access to the Accountability Mechanism. </w:t>
      </w:r>
    </w:p>
    <w:p w14:paraId="7ADBB12A" w14:textId="77777777" w:rsidR="006C181C" w:rsidRPr="004870C7" w:rsidRDefault="006C181C" w:rsidP="00C80734">
      <w:pPr>
        <w:pStyle w:val="ListParagraph"/>
        <w:numPr>
          <w:ilvl w:val="0"/>
          <w:numId w:val="17"/>
        </w:numPr>
        <w:spacing w:before="240" w:after="240"/>
        <w:ind w:left="360"/>
        <w:jc w:val="both"/>
        <w:rPr>
          <w:rFonts w:ascii="Calibri" w:hAnsi="Calibri" w:cs="Arial"/>
          <w:spacing w:val="-4"/>
          <w:sz w:val="20"/>
          <w:szCs w:val="20"/>
        </w:rPr>
      </w:pPr>
      <w:r w:rsidRPr="004870C7">
        <w:rPr>
          <w:rFonts w:ascii="Calibri" w:hAnsi="Calibri" w:cs="Arial"/>
          <w:spacing w:val="-4"/>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59289E27" w14:textId="77777777" w:rsidR="006C181C" w:rsidRPr="004870C7" w:rsidRDefault="006C181C" w:rsidP="00C80734">
      <w:pPr>
        <w:numPr>
          <w:ilvl w:val="0"/>
          <w:numId w:val="17"/>
        </w:numPr>
        <w:autoSpaceDE w:val="0"/>
        <w:autoSpaceDN w:val="0"/>
        <w:adjustRightInd w:val="0"/>
        <w:spacing w:after="0"/>
        <w:ind w:left="360"/>
        <w:rPr>
          <w:rFonts w:eastAsia="Calibri" w:cs="Arial"/>
          <w:color w:val="000000"/>
          <w:szCs w:val="20"/>
        </w:rPr>
      </w:pPr>
      <w:r w:rsidRPr="004870C7">
        <w:rPr>
          <w:rFonts w:eastAsia="Calibri" w:cs="Arial"/>
          <w:color w:val="000000"/>
          <w:szCs w:val="20"/>
        </w:rPr>
        <w:t>The Implementing Partner will take appropriate steps to prevent misuse of funds, fraud or corruption, by its officials, consultants, responsible parties, subcontractors and sub-recipients in implementing the project or using UNDP funds.  The Implementing Partner will ensure that its financial management, anti-corruption and anti-fraud policies are in place and enforced for all funding received from or through UNDP.</w:t>
      </w:r>
    </w:p>
    <w:p w14:paraId="06482ECA" w14:textId="77777777" w:rsidR="006C181C" w:rsidRPr="004870C7" w:rsidRDefault="006C181C" w:rsidP="00C80734">
      <w:pPr>
        <w:autoSpaceDE w:val="0"/>
        <w:autoSpaceDN w:val="0"/>
        <w:adjustRightInd w:val="0"/>
        <w:spacing w:after="0"/>
        <w:ind w:left="360"/>
        <w:rPr>
          <w:rFonts w:eastAsia="Calibri" w:cs="Arial"/>
          <w:color w:val="000000"/>
          <w:szCs w:val="20"/>
        </w:rPr>
      </w:pPr>
    </w:p>
    <w:p w14:paraId="1A37AF16" w14:textId="77777777" w:rsidR="006C181C" w:rsidRPr="004870C7" w:rsidRDefault="006C181C" w:rsidP="00C80734">
      <w:pPr>
        <w:numPr>
          <w:ilvl w:val="0"/>
          <w:numId w:val="17"/>
        </w:numPr>
        <w:autoSpaceDE w:val="0"/>
        <w:autoSpaceDN w:val="0"/>
        <w:adjustRightInd w:val="0"/>
        <w:spacing w:after="0"/>
        <w:ind w:left="360"/>
        <w:rPr>
          <w:rFonts w:eastAsia="Calibri" w:cs="Arial"/>
          <w:color w:val="000000"/>
          <w:szCs w:val="20"/>
        </w:rPr>
      </w:pPr>
      <w:r w:rsidRPr="004870C7">
        <w:rPr>
          <w:rFonts w:eastAsia="Calibri" w:cs="Arial"/>
          <w:color w:val="000000"/>
          <w:szCs w:val="20"/>
        </w:rPr>
        <w:t xml:space="preserve">The requirements of the following documents, then in force at the time of signature of the Project Document, apply to the Implementing Partner: </w:t>
      </w:r>
      <w:r w:rsidRPr="004870C7">
        <w:rPr>
          <w:rFonts w:eastAsia="Calibri" w:cs="Arial"/>
          <w:bCs/>
          <w:color w:val="000000"/>
          <w:szCs w:val="20"/>
        </w:rPr>
        <w:t>(a)</w:t>
      </w:r>
      <w:r w:rsidRPr="004870C7">
        <w:rPr>
          <w:rFonts w:eastAsia="Calibri" w:cs="Arial"/>
          <w:b/>
          <w:bCs/>
          <w:color w:val="000000"/>
          <w:szCs w:val="20"/>
        </w:rPr>
        <w:t xml:space="preserve"> </w:t>
      </w:r>
      <w:r w:rsidRPr="004870C7">
        <w:rPr>
          <w:rFonts w:eastAsia="Calibri" w:cs="Arial"/>
          <w:color w:val="000000"/>
          <w:szCs w:val="20"/>
        </w:rPr>
        <w:t xml:space="preserve">UNDP Policy on Fraud and other Corrupt Practices and </w:t>
      </w:r>
      <w:r w:rsidRPr="004870C7">
        <w:rPr>
          <w:rFonts w:eastAsia="Calibri" w:cs="Arial"/>
          <w:bCs/>
          <w:color w:val="000000"/>
          <w:szCs w:val="20"/>
        </w:rPr>
        <w:t>(b)</w:t>
      </w:r>
      <w:r w:rsidRPr="004870C7">
        <w:rPr>
          <w:rFonts w:eastAsia="Calibri" w:cs="Arial"/>
          <w:b/>
          <w:bCs/>
          <w:color w:val="000000"/>
          <w:szCs w:val="20"/>
        </w:rPr>
        <w:t xml:space="preserve"> </w:t>
      </w:r>
      <w:r w:rsidRPr="004870C7">
        <w:rPr>
          <w:rFonts w:eastAsia="Calibri" w:cs="Arial"/>
          <w:color w:val="000000"/>
          <w:szCs w:val="20"/>
        </w:rPr>
        <w:t xml:space="preserve">UNDP Office of Audit and Investigations Investigation Guidelines. </w:t>
      </w:r>
      <w:r w:rsidRPr="004870C7">
        <w:rPr>
          <w:rFonts w:eastAsia="Calibri" w:cs="Arial"/>
          <w:szCs w:val="20"/>
        </w:rPr>
        <w:t xml:space="preserve">The Implementing Partner agrees to the requirements of </w:t>
      </w:r>
      <w:r w:rsidRPr="004870C7">
        <w:rPr>
          <w:rFonts w:eastAsia="Calibri" w:cs="Arial"/>
          <w:szCs w:val="20"/>
        </w:rPr>
        <w:lastRenderedPageBreak/>
        <w:t xml:space="preserve">the above documents, which are an integral part of this Project Document and are available online at www.undp.org. </w:t>
      </w:r>
    </w:p>
    <w:p w14:paraId="65449F34" w14:textId="77777777" w:rsidR="006C181C" w:rsidRPr="004870C7" w:rsidRDefault="006C181C" w:rsidP="00C80734">
      <w:pPr>
        <w:spacing w:after="0"/>
        <w:ind w:left="360"/>
        <w:rPr>
          <w:rFonts w:cs="Arial"/>
          <w:color w:val="000000"/>
          <w:szCs w:val="20"/>
        </w:rPr>
      </w:pPr>
    </w:p>
    <w:p w14:paraId="149C8148" w14:textId="77777777" w:rsidR="006C181C" w:rsidRPr="004870C7" w:rsidRDefault="006C181C" w:rsidP="00C80734">
      <w:pPr>
        <w:numPr>
          <w:ilvl w:val="0"/>
          <w:numId w:val="17"/>
        </w:numPr>
        <w:spacing w:after="0"/>
        <w:ind w:left="360"/>
        <w:rPr>
          <w:rFonts w:cs="Arial"/>
          <w:color w:val="000000"/>
          <w:szCs w:val="20"/>
        </w:rPr>
      </w:pPr>
      <w:r w:rsidRPr="004870C7">
        <w:rPr>
          <w:rFonts w:cs="Arial"/>
          <w:color w:val="000000"/>
          <w:szCs w:val="20"/>
        </w:rPr>
        <w:t>In the event that an investigation is required, UNDP has the obligation to conduct investigations relating to any aspect of UNDP projects and programmes in accordance with UNDP’s regulations, rules, policies and procedures. The Implementing Partner shall provide its full cooperation, including making available personnel, relevant documentation, and granting access to the Implementing Partner’s</w:t>
      </w:r>
      <w:r w:rsidRPr="004870C7">
        <w:rPr>
          <w:rFonts w:eastAsia="Calibri" w:cs="Arial"/>
          <w:color w:val="000000"/>
          <w:szCs w:val="20"/>
        </w:rPr>
        <w:t xml:space="preserve"> </w:t>
      </w:r>
      <w:r w:rsidRPr="004870C7">
        <w:rPr>
          <w:rFonts w:cs="Arial"/>
          <w:color w:val="000000"/>
          <w:szCs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53187681" w14:textId="77777777" w:rsidR="006C181C" w:rsidRPr="004870C7" w:rsidRDefault="006C181C" w:rsidP="00C80734">
      <w:pPr>
        <w:spacing w:after="0"/>
        <w:ind w:left="360"/>
        <w:rPr>
          <w:rFonts w:eastAsia="Calibri" w:cs="Arial"/>
          <w:color w:val="000000"/>
          <w:szCs w:val="20"/>
        </w:rPr>
      </w:pPr>
    </w:p>
    <w:p w14:paraId="6C871A69" w14:textId="77777777" w:rsidR="006C181C" w:rsidRPr="004870C7" w:rsidRDefault="006C181C" w:rsidP="00C80734">
      <w:pPr>
        <w:numPr>
          <w:ilvl w:val="0"/>
          <w:numId w:val="17"/>
        </w:numPr>
        <w:spacing w:after="0"/>
        <w:ind w:left="360"/>
        <w:rPr>
          <w:rFonts w:asciiTheme="minorHAnsi" w:hAnsiTheme="minorHAnsi" w:cstheme="minorHAnsi"/>
          <w:szCs w:val="20"/>
        </w:rPr>
      </w:pPr>
      <w:r w:rsidRPr="004870C7">
        <w:rPr>
          <w:rFonts w:asciiTheme="minorHAnsi" w:hAnsiTheme="minorHAnsi" w:cstheme="minorHAnsi"/>
          <w:szCs w:val="20"/>
        </w:rPr>
        <w:t>The signatories to this Project Document will promptly inform one another in case of any incidence of inappropriate use of funds, or credible allegation of fraud or corruption with due confidentiality.</w:t>
      </w:r>
    </w:p>
    <w:p w14:paraId="160D2F66" w14:textId="77777777" w:rsidR="006C181C" w:rsidRPr="004870C7" w:rsidRDefault="006C181C" w:rsidP="00C80734">
      <w:pPr>
        <w:spacing w:after="0"/>
        <w:ind w:left="360"/>
        <w:rPr>
          <w:rFonts w:asciiTheme="minorHAnsi" w:hAnsiTheme="minorHAnsi" w:cstheme="minorHAnsi"/>
          <w:szCs w:val="20"/>
        </w:rPr>
      </w:pPr>
    </w:p>
    <w:p w14:paraId="12E01C45" w14:textId="77777777" w:rsidR="003E5768" w:rsidRPr="004870C7" w:rsidRDefault="006C181C" w:rsidP="00C80734">
      <w:pPr>
        <w:spacing w:after="0"/>
        <w:ind w:left="360"/>
        <w:rPr>
          <w:rFonts w:asciiTheme="minorHAnsi" w:eastAsia="Calibri" w:hAnsiTheme="minorHAnsi" w:cstheme="minorHAnsi"/>
          <w:color w:val="000000"/>
          <w:szCs w:val="20"/>
        </w:rPr>
      </w:pPr>
      <w:r w:rsidRPr="004870C7">
        <w:rPr>
          <w:rFonts w:asciiTheme="minorHAnsi" w:hAnsiTheme="minorHAnsi" w:cstheme="minorHAnsi"/>
          <w:szCs w:val="20"/>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3AA95018" w14:textId="77777777" w:rsidR="003E5768" w:rsidRPr="004870C7" w:rsidRDefault="003E5768" w:rsidP="00C80734">
      <w:pPr>
        <w:spacing w:after="0"/>
        <w:ind w:left="360"/>
        <w:rPr>
          <w:rFonts w:asciiTheme="minorHAnsi" w:hAnsiTheme="minorHAnsi" w:cstheme="minorHAnsi"/>
          <w:i/>
          <w:szCs w:val="20"/>
        </w:rPr>
      </w:pPr>
    </w:p>
    <w:p w14:paraId="0C727812" w14:textId="77777777" w:rsidR="006C181C" w:rsidRPr="004870C7" w:rsidRDefault="006C181C" w:rsidP="00C80734">
      <w:pPr>
        <w:pStyle w:val="ListParagraph"/>
        <w:numPr>
          <w:ilvl w:val="0"/>
          <w:numId w:val="21"/>
        </w:numPr>
        <w:jc w:val="both"/>
        <w:rPr>
          <w:rFonts w:asciiTheme="minorHAnsi" w:eastAsia="Calibri" w:hAnsiTheme="minorHAnsi" w:cstheme="minorHAnsi"/>
          <w:color w:val="000000"/>
          <w:sz w:val="20"/>
          <w:szCs w:val="20"/>
        </w:rPr>
      </w:pPr>
      <w:r w:rsidRPr="004870C7">
        <w:rPr>
          <w:rFonts w:asciiTheme="minorHAnsi" w:hAnsiTheme="minorHAnsi" w:cstheme="minorHAnsi"/>
          <w:sz w:val="20"/>
          <w:szCs w:val="20"/>
        </w:rPr>
        <w:t>UNDP shall be entitled to a refund from the Implementing Partner of any funds provided that have been used inappropriately, including through fraud or corruption, or otherwise paid other than in accordance with the terms and conditions of the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1E750BBB" w14:textId="77777777" w:rsidR="006C181C" w:rsidRPr="004870C7" w:rsidRDefault="006C181C" w:rsidP="00C80734">
      <w:pPr>
        <w:spacing w:after="0"/>
        <w:ind w:left="360"/>
        <w:rPr>
          <w:rFonts w:asciiTheme="minorHAnsi" w:hAnsiTheme="minorHAnsi" w:cstheme="minorHAnsi"/>
          <w:szCs w:val="20"/>
        </w:rPr>
      </w:pPr>
    </w:p>
    <w:p w14:paraId="0B4FB976" w14:textId="77777777" w:rsidR="006C181C" w:rsidRPr="004870C7" w:rsidRDefault="006C181C" w:rsidP="00C80734">
      <w:pPr>
        <w:spacing w:after="0"/>
        <w:ind w:left="360"/>
        <w:rPr>
          <w:rFonts w:cs="Arial"/>
          <w:szCs w:val="20"/>
        </w:rPr>
      </w:pPr>
      <w:r w:rsidRPr="004870C7">
        <w:rPr>
          <w:rFonts w:cs="Arial"/>
          <w:szCs w:val="20"/>
        </w:rPr>
        <w:t>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fraud or corruption, or otherwise paid other than in accordance with the terms and conditions of the Project Document.</w:t>
      </w:r>
    </w:p>
    <w:p w14:paraId="0C8AA402" w14:textId="77777777" w:rsidR="006C181C" w:rsidRPr="004870C7" w:rsidRDefault="006C181C" w:rsidP="00C80734">
      <w:pPr>
        <w:spacing w:after="0"/>
        <w:ind w:left="360"/>
        <w:rPr>
          <w:rFonts w:cs="Arial"/>
          <w:szCs w:val="20"/>
        </w:rPr>
      </w:pPr>
    </w:p>
    <w:p w14:paraId="3DC2A6C9" w14:textId="77777777" w:rsidR="006C181C" w:rsidRPr="004870C7" w:rsidRDefault="006C181C" w:rsidP="00C80734">
      <w:pPr>
        <w:spacing w:after="0"/>
        <w:ind w:left="360"/>
        <w:rPr>
          <w:rFonts w:eastAsia="Calibri" w:cs="Arial"/>
          <w:color w:val="000000"/>
          <w:szCs w:val="20"/>
        </w:rPr>
      </w:pPr>
      <w:r w:rsidRPr="004870C7">
        <w:rPr>
          <w:rFonts w:cs="Arial"/>
          <w:i/>
          <w:szCs w:val="20"/>
          <w:u w:val="single"/>
        </w:rPr>
        <w:t>Note</w:t>
      </w:r>
      <w:r w:rsidRPr="004870C7">
        <w:rPr>
          <w:rFonts w:cs="Arial"/>
          <w:i/>
          <w:szCs w:val="20"/>
        </w:rPr>
        <w:t>:</w:t>
      </w:r>
      <w:r w:rsidRPr="004870C7">
        <w:rPr>
          <w:rFonts w:cs="Arial"/>
          <w:szCs w:val="20"/>
        </w:rPr>
        <w:t xml:space="preserve">  The term “Project Document” as used in this clause shall be deemed to include any relevant subsidiary agreement further to the Project Document, including those with responsible parties, subcontractors and sub-recipients.</w:t>
      </w:r>
    </w:p>
    <w:p w14:paraId="6F85407D" w14:textId="77777777" w:rsidR="006C181C" w:rsidRPr="004870C7" w:rsidRDefault="006C181C" w:rsidP="00C80734">
      <w:pPr>
        <w:spacing w:after="0"/>
        <w:ind w:left="360"/>
        <w:rPr>
          <w:rFonts w:cs="Arial"/>
          <w:szCs w:val="20"/>
        </w:rPr>
      </w:pPr>
    </w:p>
    <w:p w14:paraId="6607E296" w14:textId="77777777" w:rsidR="006C181C" w:rsidRPr="004870C7" w:rsidRDefault="006C181C" w:rsidP="00C80734">
      <w:pPr>
        <w:numPr>
          <w:ilvl w:val="0"/>
          <w:numId w:val="22"/>
        </w:numPr>
        <w:spacing w:after="0"/>
        <w:rPr>
          <w:rFonts w:cs="Arial"/>
          <w:szCs w:val="20"/>
        </w:rPr>
      </w:pPr>
      <w:r w:rsidRPr="004870C7">
        <w:rPr>
          <w:rFonts w:cs="Arial"/>
          <w:szCs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578C72FA" w14:textId="77777777" w:rsidR="006C181C" w:rsidRPr="004870C7" w:rsidRDefault="006C181C" w:rsidP="00C80734">
      <w:pPr>
        <w:spacing w:after="0"/>
        <w:ind w:left="360"/>
        <w:rPr>
          <w:rFonts w:cs="Arial"/>
          <w:szCs w:val="20"/>
        </w:rPr>
      </w:pPr>
    </w:p>
    <w:p w14:paraId="4223BC88" w14:textId="77777777" w:rsidR="006C181C" w:rsidRPr="004870C7" w:rsidRDefault="006C181C" w:rsidP="00C80734">
      <w:pPr>
        <w:numPr>
          <w:ilvl w:val="0"/>
          <w:numId w:val="22"/>
        </w:numPr>
        <w:spacing w:after="0"/>
        <w:rPr>
          <w:rFonts w:cs="Arial"/>
          <w:szCs w:val="20"/>
        </w:rPr>
      </w:pPr>
      <w:r w:rsidRPr="004870C7">
        <w:rPr>
          <w:rFonts w:cs="Arial"/>
          <w:szCs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700493D5" w14:textId="77777777" w:rsidR="006C181C" w:rsidRPr="004870C7" w:rsidRDefault="006C181C" w:rsidP="00C80734">
      <w:pPr>
        <w:spacing w:after="0"/>
        <w:ind w:left="360"/>
        <w:rPr>
          <w:rFonts w:cs="Arial"/>
          <w:szCs w:val="20"/>
        </w:rPr>
      </w:pPr>
    </w:p>
    <w:p w14:paraId="7AA837D4" w14:textId="77777777" w:rsidR="006C181C" w:rsidRPr="004870C7" w:rsidRDefault="006C181C" w:rsidP="00C80734">
      <w:pPr>
        <w:numPr>
          <w:ilvl w:val="0"/>
          <w:numId w:val="22"/>
        </w:numPr>
        <w:spacing w:after="0"/>
        <w:rPr>
          <w:rFonts w:cs="Arial"/>
          <w:szCs w:val="20"/>
        </w:rPr>
      </w:pPr>
      <w:r w:rsidRPr="004870C7">
        <w:rPr>
          <w:rFonts w:cs="Arial"/>
          <w:szCs w:val="20"/>
        </w:rPr>
        <w:t xml:space="preserve">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w:t>
      </w:r>
      <w:r w:rsidRPr="004870C7">
        <w:rPr>
          <w:rFonts w:cs="Arial"/>
          <w:i/>
          <w:szCs w:val="20"/>
        </w:rPr>
        <w:t>mutatis mutandis</w:t>
      </w:r>
      <w:r w:rsidRPr="004870C7">
        <w:rPr>
          <w:rFonts w:cs="Arial"/>
          <w:szCs w:val="20"/>
        </w:rPr>
        <w:t>, in all sub-contracts or sub-agreements entered into further to this Project Document.</w:t>
      </w:r>
    </w:p>
    <w:p w14:paraId="7F2E170F" w14:textId="77777777" w:rsidR="00872F38" w:rsidRPr="004870C7" w:rsidRDefault="006C181C" w:rsidP="006C181C">
      <w:pPr>
        <w:rPr>
          <w:rFonts w:cs="Arial"/>
          <w:szCs w:val="20"/>
        </w:rPr>
      </w:pPr>
      <w:r w:rsidRPr="004870C7">
        <w:br w:type="page"/>
      </w:r>
    </w:p>
    <w:p w14:paraId="263785F9" w14:textId="77777777" w:rsidR="003E3ABA" w:rsidRPr="004870C7" w:rsidRDefault="003E3ABA" w:rsidP="003B2A79">
      <w:pPr>
        <w:pStyle w:val="Heading1"/>
        <w:spacing w:before="0" w:after="60"/>
        <w:rPr>
          <w:rFonts w:ascii="Calibri" w:hAnsi="Calibri"/>
        </w:rPr>
      </w:pPr>
      <w:bookmarkStart w:id="24" w:name="_Toc75965556"/>
      <w:bookmarkStart w:id="25" w:name="_Hlk69225427"/>
      <w:r w:rsidRPr="004870C7">
        <w:rPr>
          <w:rFonts w:ascii="Calibri" w:hAnsi="Calibri"/>
        </w:rPr>
        <w:lastRenderedPageBreak/>
        <w:t>Mandatory Annexes</w:t>
      </w:r>
      <w:bookmarkEnd w:id="24"/>
    </w:p>
    <w:p w14:paraId="3B1B6E1C" w14:textId="77777777" w:rsidR="00FD462B" w:rsidRPr="004870C7" w:rsidRDefault="00FD462B" w:rsidP="00FD462B"/>
    <w:p w14:paraId="487E1552" w14:textId="73577963" w:rsidR="00C13BA9" w:rsidRPr="004870C7" w:rsidRDefault="00C13BA9" w:rsidP="00FA41FE">
      <w:pPr>
        <w:pStyle w:val="ListParagraph"/>
        <w:numPr>
          <w:ilvl w:val="0"/>
          <w:numId w:val="19"/>
        </w:numPr>
        <w:spacing w:after="120"/>
        <w:rPr>
          <w:rFonts w:ascii="Calibri" w:hAnsi="Calibri"/>
          <w:sz w:val="20"/>
          <w:szCs w:val="20"/>
        </w:rPr>
      </w:pPr>
      <w:r w:rsidRPr="004870C7">
        <w:rPr>
          <w:rFonts w:ascii="Calibri" w:hAnsi="Calibri"/>
          <w:sz w:val="20"/>
          <w:szCs w:val="20"/>
        </w:rPr>
        <w:t>GEF Budget Template</w:t>
      </w:r>
      <w:r w:rsidR="0082656E" w:rsidRPr="004870C7">
        <w:rPr>
          <w:rFonts w:ascii="Calibri" w:hAnsi="Calibri"/>
          <w:sz w:val="20"/>
          <w:szCs w:val="20"/>
        </w:rPr>
        <w:t xml:space="preserve"> (available from BPP</w:t>
      </w:r>
      <w:r w:rsidR="00B62177" w:rsidRPr="004870C7">
        <w:rPr>
          <w:rFonts w:ascii="Calibri" w:hAnsi="Calibri"/>
          <w:sz w:val="20"/>
          <w:szCs w:val="20"/>
        </w:rPr>
        <w:t>S</w:t>
      </w:r>
      <w:r w:rsidR="0082656E" w:rsidRPr="004870C7">
        <w:rPr>
          <w:rFonts w:ascii="Calibri" w:hAnsi="Calibri"/>
          <w:sz w:val="20"/>
          <w:szCs w:val="20"/>
        </w:rPr>
        <w:t xml:space="preserve"> NCE-VF)</w:t>
      </w:r>
    </w:p>
    <w:p w14:paraId="6136E065" w14:textId="77777777" w:rsidR="004A046B" w:rsidRPr="004870C7" w:rsidRDefault="004A046B" w:rsidP="00FA41FE">
      <w:pPr>
        <w:pStyle w:val="ListParagraph"/>
        <w:numPr>
          <w:ilvl w:val="0"/>
          <w:numId w:val="19"/>
        </w:numPr>
        <w:spacing w:after="120"/>
        <w:rPr>
          <w:rFonts w:ascii="Calibri" w:hAnsi="Calibri"/>
          <w:sz w:val="20"/>
          <w:szCs w:val="20"/>
        </w:rPr>
      </w:pPr>
      <w:r w:rsidRPr="004870C7">
        <w:rPr>
          <w:rFonts w:ascii="Calibri" w:hAnsi="Calibri"/>
          <w:sz w:val="20"/>
          <w:szCs w:val="20"/>
        </w:rPr>
        <w:t>Project Map and geospatial coordinates of the project area</w:t>
      </w:r>
    </w:p>
    <w:p w14:paraId="114B7ACE" w14:textId="77777777" w:rsidR="00FD462B" w:rsidRPr="004870C7" w:rsidRDefault="00EB6F21" w:rsidP="00FA41FE">
      <w:pPr>
        <w:pStyle w:val="ListParagraph"/>
        <w:numPr>
          <w:ilvl w:val="0"/>
          <w:numId w:val="19"/>
        </w:numPr>
        <w:spacing w:after="120"/>
        <w:rPr>
          <w:rFonts w:ascii="Calibri" w:hAnsi="Calibri"/>
          <w:sz w:val="20"/>
          <w:szCs w:val="20"/>
        </w:rPr>
      </w:pPr>
      <w:r w:rsidRPr="004870C7">
        <w:rPr>
          <w:rFonts w:ascii="Calibri" w:hAnsi="Calibri"/>
          <w:sz w:val="20"/>
          <w:szCs w:val="20"/>
        </w:rPr>
        <w:t>Multiyear</w:t>
      </w:r>
      <w:r w:rsidR="003E3ABA" w:rsidRPr="004870C7">
        <w:rPr>
          <w:rFonts w:ascii="Calibri" w:hAnsi="Calibri"/>
          <w:sz w:val="20"/>
          <w:szCs w:val="20"/>
        </w:rPr>
        <w:t xml:space="preserve"> Workplan </w:t>
      </w:r>
    </w:p>
    <w:p w14:paraId="17B2EAD5" w14:textId="77777777" w:rsidR="00993136" w:rsidRPr="004870C7" w:rsidRDefault="00845DD4" w:rsidP="00FA41FE">
      <w:pPr>
        <w:pStyle w:val="ListParagraph"/>
        <w:numPr>
          <w:ilvl w:val="0"/>
          <w:numId w:val="19"/>
        </w:numPr>
        <w:spacing w:after="120"/>
        <w:rPr>
          <w:rFonts w:ascii="Calibri" w:hAnsi="Calibri"/>
          <w:sz w:val="20"/>
          <w:szCs w:val="20"/>
        </w:rPr>
      </w:pPr>
      <w:r w:rsidRPr="004870C7">
        <w:rPr>
          <w:rFonts w:ascii="Calibri" w:hAnsi="Calibri"/>
          <w:sz w:val="20"/>
          <w:szCs w:val="20"/>
        </w:rPr>
        <w:t xml:space="preserve">Monitoring Plan </w:t>
      </w:r>
    </w:p>
    <w:p w14:paraId="759CE815" w14:textId="77777777" w:rsidR="0040644E" w:rsidRPr="004870C7" w:rsidRDefault="0040644E" w:rsidP="00FA41FE">
      <w:pPr>
        <w:pStyle w:val="ListParagraph"/>
        <w:numPr>
          <w:ilvl w:val="0"/>
          <w:numId w:val="19"/>
        </w:numPr>
        <w:spacing w:after="120"/>
        <w:rPr>
          <w:rFonts w:ascii="Calibri" w:hAnsi="Calibri"/>
          <w:sz w:val="20"/>
          <w:szCs w:val="20"/>
        </w:rPr>
      </w:pPr>
      <w:r w:rsidRPr="004870C7">
        <w:rPr>
          <w:rFonts w:asciiTheme="minorHAnsi" w:hAnsiTheme="minorHAnsi" w:cstheme="minorHAnsi"/>
          <w:sz w:val="20"/>
          <w:szCs w:val="20"/>
        </w:rPr>
        <w:t xml:space="preserve">Social and Environmental Screening Procedure (SESP) </w:t>
      </w:r>
    </w:p>
    <w:p w14:paraId="7CBBBB06" w14:textId="682F31F8" w:rsidR="006B4FD8" w:rsidRPr="004870C7" w:rsidRDefault="006B4FD8" w:rsidP="00FA41FE">
      <w:pPr>
        <w:pStyle w:val="ListParagraph"/>
        <w:numPr>
          <w:ilvl w:val="0"/>
          <w:numId w:val="19"/>
        </w:numPr>
        <w:spacing w:after="120"/>
        <w:rPr>
          <w:rFonts w:ascii="Calibri" w:hAnsi="Calibri"/>
          <w:sz w:val="20"/>
          <w:szCs w:val="20"/>
        </w:rPr>
      </w:pPr>
      <w:r w:rsidRPr="004870C7">
        <w:rPr>
          <w:rFonts w:ascii="Calibri" w:hAnsi="Calibri"/>
          <w:sz w:val="20"/>
          <w:szCs w:val="20"/>
        </w:rPr>
        <w:t xml:space="preserve">UNDP Atlas Risk Register </w:t>
      </w:r>
    </w:p>
    <w:p w14:paraId="1BE972CE" w14:textId="77777777" w:rsidR="00E647F9" w:rsidRPr="004870C7" w:rsidRDefault="00993136" w:rsidP="00FA41FE">
      <w:pPr>
        <w:pStyle w:val="ListParagraph"/>
        <w:numPr>
          <w:ilvl w:val="0"/>
          <w:numId w:val="19"/>
        </w:numPr>
        <w:spacing w:after="120"/>
        <w:rPr>
          <w:rFonts w:ascii="Calibri" w:hAnsi="Calibri"/>
          <w:sz w:val="20"/>
          <w:szCs w:val="20"/>
        </w:rPr>
      </w:pPr>
      <w:r w:rsidRPr="004870C7">
        <w:rPr>
          <w:rFonts w:ascii="Calibri" w:hAnsi="Calibri"/>
          <w:sz w:val="20"/>
          <w:szCs w:val="20"/>
        </w:rPr>
        <w:t xml:space="preserve">Overview of technical consultancies/subcontracts </w:t>
      </w:r>
    </w:p>
    <w:p w14:paraId="52A50B5E" w14:textId="77777777" w:rsidR="005B5F67" w:rsidRPr="004870C7" w:rsidRDefault="005B5F67" w:rsidP="00FA41FE">
      <w:pPr>
        <w:pStyle w:val="ListParagraph"/>
        <w:numPr>
          <w:ilvl w:val="0"/>
          <w:numId w:val="19"/>
        </w:numPr>
        <w:spacing w:after="120"/>
        <w:rPr>
          <w:rFonts w:ascii="Calibri" w:hAnsi="Calibri"/>
          <w:sz w:val="20"/>
          <w:szCs w:val="20"/>
        </w:rPr>
      </w:pPr>
      <w:r w:rsidRPr="004870C7">
        <w:rPr>
          <w:rFonts w:ascii="Calibri" w:hAnsi="Calibri"/>
          <w:sz w:val="20"/>
          <w:szCs w:val="20"/>
        </w:rPr>
        <w:t xml:space="preserve">Stakeholder Engagement Plan </w:t>
      </w:r>
    </w:p>
    <w:p w14:paraId="107BF94D" w14:textId="41D72FC1" w:rsidR="00EB6F21" w:rsidRPr="004870C7" w:rsidRDefault="00EB6F21" w:rsidP="00FA41FE">
      <w:pPr>
        <w:pStyle w:val="ListParagraph"/>
        <w:numPr>
          <w:ilvl w:val="0"/>
          <w:numId w:val="19"/>
        </w:numPr>
        <w:spacing w:after="120"/>
        <w:rPr>
          <w:rFonts w:asciiTheme="minorHAnsi" w:hAnsiTheme="minorHAnsi" w:cstheme="minorHAnsi"/>
          <w:sz w:val="20"/>
          <w:szCs w:val="20"/>
        </w:rPr>
      </w:pPr>
      <w:r w:rsidRPr="004870C7">
        <w:rPr>
          <w:rFonts w:asciiTheme="minorHAnsi" w:hAnsiTheme="minorHAnsi" w:cstheme="minorHAnsi"/>
          <w:sz w:val="20"/>
          <w:szCs w:val="20"/>
        </w:rPr>
        <w:t>Gender Analysis</w:t>
      </w:r>
      <w:r w:rsidR="00AA678A" w:rsidRPr="004870C7">
        <w:rPr>
          <w:rFonts w:asciiTheme="minorHAnsi" w:hAnsiTheme="minorHAnsi" w:cstheme="minorHAnsi"/>
          <w:sz w:val="20"/>
          <w:szCs w:val="20"/>
        </w:rPr>
        <w:t xml:space="preserve"> and </w:t>
      </w:r>
      <w:r w:rsidR="001A0CB6" w:rsidRPr="004870C7">
        <w:rPr>
          <w:rFonts w:asciiTheme="minorHAnsi" w:hAnsiTheme="minorHAnsi" w:cstheme="minorHAnsi"/>
          <w:sz w:val="20"/>
          <w:szCs w:val="20"/>
        </w:rPr>
        <w:t>Gender</w:t>
      </w:r>
      <w:r w:rsidRPr="004870C7">
        <w:rPr>
          <w:rFonts w:asciiTheme="minorHAnsi" w:hAnsiTheme="minorHAnsi" w:cstheme="minorHAnsi"/>
          <w:sz w:val="20"/>
          <w:szCs w:val="20"/>
        </w:rPr>
        <w:t xml:space="preserve"> Action Plan </w:t>
      </w:r>
    </w:p>
    <w:p w14:paraId="7F17C939" w14:textId="097ADE5A" w:rsidR="00B56704" w:rsidRPr="004870C7" w:rsidRDefault="00B56704" w:rsidP="00FA41FE">
      <w:pPr>
        <w:pStyle w:val="ListParagraph"/>
        <w:numPr>
          <w:ilvl w:val="0"/>
          <w:numId w:val="19"/>
        </w:numPr>
        <w:spacing w:after="120"/>
        <w:rPr>
          <w:rFonts w:ascii="Calibri" w:hAnsi="Calibri"/>
          <w:sz w:val="20"/>
          <w:szCs w:val="20"/>
        </w:rPr>
      </w:pPr>
      <w:r w:rsidRPr="004870C7">
        <w:rPr>
          <w:rFonts w:ascii="Calibri" w:hAnsi="Calibri"/>
          <w:sz w:val="20"/>
          <w:szCs w:val="20"/>
        </w:rPr>
        <w:t xml:space="preserve">GEF focal area specific annexes (e.g. METT, GHG calculations, target landscape profile, feasibility study, other technical reports) </w:t>
      </w:r>
    </w:p>
    <w:p w14:paraId="49B0EAA0" w14:textId="11C71E12" w:rsidR="00932753" w:rsidRDefault="00932753" w:rsidP="00FA41FE">
      <w:pPr>
        <w:pStyle w:val="ListParagraph"/>
        <w:numPr>
          <w:ilvl w:val="0"/>
          <w:numId w:val="19"/>
        </w:numPr>
        <w:spacing w:after="120"/>
        <w:rPr>
          <w:rFonts w:ascii="Calibri" w:hAnsi="Calibri"/>
          <w:sz w:val="20"/>
          <w:szCs w:val="20"/>
        </w:rPr>
      </w:pPr>
      <w:r w:rsidRPr="004870C7">
        <w:rPr>
          <w:rFonts w:ascii="Calibri" w:hAnsi="Calibri"/>
          <w:sz w:val="20"/>
          <w:szCs w:val="20"/>
        </w:rPr>
        <w:t>Procurement Plan – for first year of implementation especially</w:t>
      </w:r>
    </w:p>
    <w:p w14:paraId="1ED94D11" w14:textId="161527D2" w:rsidR="009F5396" w:rsidRPr="004870C7" w:rsidRDefault="009F5396" w:rsidP="00FA41FE">
      <w:pPr>
        <w:pStyle w:val="ListParagraph"/>
        <w:numPr>
          <w:ilvl w:val="0"/>
          <w:numId w:val="19"/>
        </w:numPr>
        <w:spacing w:after="120"/>
        <w:rPr>
          <w:rFonts w:ascii="Calibri" w:hAnsi="Calibri"/>
          <w:sz w:val="20"/>
          <w:szCs w:val="20"/>
        </w:rPr>
      </w:pPr>
      <w:r>
        <w:rPr>
          <w:rFonts w:ascii="Calibri" w:hAnsi="Calibri"/>
          <w:sz w:val="20"/>
          <w:szCs w:val="20"/>
        </w:rPr>
        <w:t>GEF Taxonomy (see template below)</w:t>
      </w:r>
    </w:p>
    <w:p w14:paraId="6210A624" w14:textId="104A62EC" w:rsidR="00A10620" w:rsidRPr="004870C7" w:rsidRDefault="00F37A13" w:rsidP="00FA41FE">
      <w:pPr>
        <w:pStyle w:val="ListParagraph"/>
        <w:numPr>
          <w:ilvl w:val="0"/>
          <w:numId w:val="19"/>
        </w:numPr>
        <w:spacing w:after="120"/>
        <w:rPr>
          <w:rFonts w:asciiTheme="minorHAnsi" w:hAnsiTheme="minorHAnsi" w:cstheme="minorHAnsi"/>
          <w:sz w:val="20"/>
          <w:szCs w:val="20"/>
        </w:rPr>
      </w:pPr>
      <w:hyperlink r:id="rId31" w:history="1">
        <w:r w:rsidR="008D7547" w:rsidRPr="004870C7">
          <w:rPr>
            <w:rStyle w:val="Hyperlink"/>
            <w:rFonts w:asciiTheme="minorHAnsi" w:hAnsiTheme="minorHAnsi" w:cstheme="minorHAnsi"/>
            <w:sz w:val="20"/>
            <w:szCs w:val="20"/>
          </w:rPr>
          <w:t>P</w:t>
        </w:r>
        <w:r w:rsidR="004A046B" w:rsidRPr="004870C7">
          <w:rPr>
            <w:rStyle w:val="Hyperlink"/>
            <w:rFonts w:asciiTheme="minorHAnsi" w:hAnsiTheme="minorHAnsi" w:cstheme="minorHAnsi"/>
            <w:sz w:val="20"/>
            <w:szCs w:val="20"/>
          </w:rPr>
          <w:t>artners Capacity Assessment Tool and HACT assessment</w:t>
        </w:r>
      </w:hyperlink>
      <w:r w:rsidR="00A10620" w:rsidRPr="004870C7">
        <w:rPr>
          <w:rStyle w:val="Hyperlink"/>
          <w:rFonts w:asciiTheme="minorHAnsi" w:hAnsiTheme="minorHAnsi" w:cstheme="minorHAnsi"/>
          <w:sz w:val="20"/>
          <w:szCs w:val="20"/>
        </w:rPr>
        <w:t xml:space="preserve"> </w:t>
      </w:r>
    </w:p>
    <w:p w14:paraId="5D7C3F3E" w14:textId="6A03B143" w:rsidR="003E3ABA" w:rsidRPr="004870C7" w:rsidRDefault="004A046B" w:rsidP="00FA41FE">
      <w:pPr>
        <w:pStyle w:val="ListParagraph"/>
        <w:numPr>
          <w:ilvl w:val="0"/>
          <w:numId w:val="19"/>
        </w:numPr>
        <w:spacing w:after="120"/>
        <w:rPr>
          <w:rFonts w:asciiTheme="minorHAnsi" w:hAnsiTheme="minorHAnsi" w:cstheme="minorHAnsi"/>
          <w:sz w:val="20"/>
          <w:szCs w:val="20"/>
        </w:rPr>
      </w:pPr>
      <w:r w:rsidRPr="004870C7">
        <w:rPr>
          <w:rFonts w:asciiTheme="minorHAnsi" w:hAnsiTheme="minorHAnsi" w:cstheme="minorHAnsi"/>
          <w:sz w:val="20"/>
          <w:szCs w:val="20"/>
        </w:rPr>
        <w:t xml:space="preserve">UNDP Project Quality Assurance Report (to be completed in UNDP online corporate planning system) </w:t>
      </w:r>
    </w:p>
    <w:p w14:paraId="2AB45153" w14:textId="398A4C61" w:rsidR="000978FA" w:rsidRPr="004870C7" w:rsidRDefault="000978FA" w:rsidP="00FA41FE">
      <w:pPr>
        <w:pStyle w:val="ListParagraph"/>
        <w:numPr>
          <w:ilvl w:val="0"/>
          <w:numId w:val="19"/>
        </w:numPr>
        <w:spacing w:after="120"/>
        <w:rPr>
          <w:rFonts w:asciiTheme="minorHAnsi" w:hAnsiTheme="minorHAnsi" w:cstheme="minorHAnsi"/>
          <w:sz w:val="20"/>
          <w:szCs w:val="20"/>
        </w:rPr>
      </w:pPr>
      <w:r w:rsidRPr="004870C7">
        <w:rPr>
          <w:rFonts w:asciiTheme="minorHAnsi" w:hAnsiTheme="minorHAnsi" w:cstheme="minorHAnsi"/>
          <w:sz w:val="20"/>
          <w:szCs w:val="20"/>
        </w:rPr>
        <w:t>Project Terminal Report (End of Project Report)</w:t>
      </w:r>
    </w:p>
    <w:bookmarkEnd w:id="25"/>
    <w:p w14:paraId="68C0006E" w14:textId="2E9899BC" w:rsidR="00637FED" w:rsidRDefault="00637FED" w:rsidP="000978FA">
      <w:pPr>
        <w:spacing w:after="120"/>
        <w:rPr>
          <w:rFonts w:asciiTheme="minorHAnsi" w:hAnsiTheme="minorHAnsi" w:cstheme="minorHAnsi"/>
          <w:szCs w:val="20"/>
        </w:rPr>
      </w:pPr>
    </w:p>
    <w:p w14:paraId="2F4E845C" w14:textId="723886B3" w:rsidR="00205BC1" w:rsidRDefault="00205BC1" w:rsidP="000978FA">
      <w:pPr>
        <w:spacing w:after="120"/>
        <w:rPr>
          <w:rFonts w:asciiTheme="minorHAnsi" w:hAnsiTheme="minorHAnsi" w:cstheme="minorHAnsi"/>
          <w:szCs w:val="20"/>
        </w:rPr>
      </w:pPr>
    </w:p>
    <w:p w14:paraId="7D947397" w14:textId="2CB31E9D" w:rsidR="00205BC1" w:rsidRDefault="00205BC1" w:rsidP="000978FA">
      <w:pPr>
        <w:spacing w:after="120"/>
        <w:rPr>
          <w:rFonts w:asciiTheme="minorHAnsi" w:hAnsiTheme="minorHAnsi" w:cstheme="minorHAnsi"/>
          <w:szCs w:val="20"/>
        </w:rPr>
      </w:pPr>
    </w:p>
    <w:p w14:paraId="6EAA29CD" w14:textId="54CA393B" w:rsidR="00147EA8" w:rsidRDefault="00147EA8">
      <w:pPr>
        <w:spacing w:after="0"/>
        <w:jc w:val="left"/>
        <w:rPr>
          <w:rFonts w:asciiTheme="minorHAnsi" w:hAnsiTheme="minorHAnsi" w:cstheme="minorHAnsi"/>
          <w:szCs w:val="20"/>
        </w:rPr>
      </w:pPr>
      <w:r>
        <w:rPr>
          <w:rFonts w:asciiTheme="minorHAnsi" w:hAnsiTheme="minorHAnsi" w:cstheme="minorHAnsi"/>
          <w:szCs w:val="20"/>
        </w:rPr>
        <w:br w:type="page"/>
      </w:r>
    </w:p>
    <w:p w14:paraId="41FCA996" w14:textId="77777777" w:rsidR="00651161" w:rsidRDefault="00C13BA9" w:rsidP="00163050">
      <w:pPr>
        <w:pStyle w:val="Heading2"/>
        <w:ind w:left="0"/>
        <w:rPr>
          <w:rFonts w:asciiTheme="minorHAnsi" w:hAnsiTheme="minorHAnsi" w:cstheme="minorHAnsi"/>
          <w:sz w:val="22"/>
          <w:szCs w:val="22"/>
        </w:rPr>
      </w:pPr>
      <w:bookmarkStart w:id="26" w:name="_Toc75965557"/>
      <w:r w:rsidRPr="004870C7">
        <w:rPr>
          <w:rFonts w:asciiTheme="minorHAnsi" w:hAnsiTheme="minorHAnsi" w:cstheme="minorHAnsi"/>
          <w:sz w:val="22"/>
          <w:szCs w:val="22"/>
        </w:rPr>
        <w:lastRenderedPageBreak/>
        <w:t>Annex 1: GEF Budget Template</w:t>
      </w:r>
      <w:bookmarkEnd w:id="26"/>
    </w:p>
    <w:p w14:paraId="21E38234" w14:textId="77777777" w:rsidR="00651161" w:rsidRDefault="00651161" w:rsidP="00163050">
      <w:pPr>
        <w:pStyle w:val="Heading2"/>
        <w:ind w:left="0"/>
        <w:rPr>
          <w:rFonts w:asciiTheme="minorHAnsi" w:hAnsiTheme="minorHAnsi" w:cstheme="minorHAnsi"/>
          <w:sz w:val="22"/>
          <w:szCs w:val="22"/>
        </w:rPr>
      </w:pPr>
    </w:p>
    <w:p w14:paraId="19B8375E" w14:textId="7CB96759" w:rsidR="00C13BA9" w:rsidRPr="00651161" w:rsidRDefault="00651161" w:rsidP="001E6F42">
      <w:pPr>
        <w:rPr>
          <w:rFonts w:asciiTheme="minorHAnsi" w:hAnsiTheme="minorHAnsi" w:cstheme="minorHAnsi"/>
          <w:b/>
          <w:bCs/>
          <w:sz w:val="22"/>
          <w:szCs w:val="22"/>
        </w:rPr>
      </w:pPr>
      <w:r w:rsidRPr="00651161">
        <w:rPr>
          <w:rFonts w:asciiTheme="minorHAnsi" w:hAnsiTheme="minorHAnsi" w:cstheme="minorHAnsi"/>
          <w:sz w:val="22"/>
          <w:szCs w:val="22"/>
        </w:rPr>
        <w:t>The GEF Budget is attached separately to the project document.</w:t>
      </w:r>
      <w:r w:rsidR="00C13BA9" w:rsidRPr="00651161">
        <w:rPr>
          <w:rFonts w:asciiTheme="minorHAnsi" w:hAnsiTheme="minorHAnsi" w:cstheme="minorHAnsi"/>
          <w:sz w:val="22"/>
          <w:szCs w:val="22"/>
        </w:rPr>
        <w:br w:type="page"/>
      </w:r>
    </w:p>
    <w:p w14:paraId="2D5D0F7E" w14:textId="1C941254" w:rsidR="007E03E7" w:rsidRPr="004870C7" w:rsidRDefault="004C066B" w:rsidP="00556F17">
      <w:pPr>
        <w:pStyle w:val="Heading2"/>
        <w:ind w:left="0"/>
        <w:rPr>
          <w:rFonts w:ascii="Calibri" w:hAnsi="Calibri"/>
          <w:szCs w:val="22"/>
        </w:rPr>
      </w:pPr>
      <w:bookmarkStart w:id="27" w:name="_Toc75965558"/>
      <w:r w:rsidRPr="004870C7">
        <w:rPr>
          <w:rFonts w:ascii="Calibri" w:hAnsi="Calibri"/>
          <w:szCs w:val="22"/>
        </w:rPr>
        <w:lastRenderedPageBreak/>
        <w:t xml:space="preserve">Annex </w:t>
      </w:r>
      <w:r w:rsidR="00D35B7F" w:rsidRPr="004870C7">
        <w:rPr>
          <w:rFonts w:ascii="Calibri" w:hAnsi="Calibri"/>
          <w:szCs w:val="22"/>
        </w:rPr>
        <w:t>2</w:t>
      </w:r>
      <w:r w:rsidRPr="004870C7">
        <w:rPr>
          <w:rFonts w:ascii="Calibri" w:hAnsi="Calibri"/>
          <w:szCs w:val="22"/>
        </w:rPr>
        <w:t xml:space="preserve">: </w:t>
      </w:r>
      <w:r w:rsidR="007E03E7" w:rsidRPr="004870C7">
        <w:rPr>
          <w:rFonts w:ascii="Calibri" w:hAnsi="Calibri"/>
          <w:szCs w:val="22"/>
        </w:rPr>
        <w:t xml:space="preserve">Project map and </w:t>
      </w:r>
      <w:r w:rsidR="001A7B9D" w:rsidRPr="004870C7">
        <w:rPr>
          <w:rFonts w:ascii="Calibri" w:hAnsi="Calibri"/>
          <w:szCs w:val="22"/>
        </w:rPr>
        <w:t>Geospatial C</w:t>
      </w:r>
      <w:r w:rsidR="007E03E7" w:rsidRPr="004870C7">
        <w:rPr>
          <w:rFonts w:ascii="Calibri" w:hAnsi="Calibri"/>
          <w:szCs w:val="22"/>
        </w:rPr>
        <w:t>oordinates</w:t>
      </w:r>
      <w:r w:rsidR="001A7B9D" w:rsidRPr="004870C7">
        <w:rPr>
          <w:rFonts w:ascii="Calibri" w:hAnsi="Calibri"/>
          <w:szCs w:val="22"/>
        </w:rPr>
        <w:t xml:space="preserve"> of project sites</w:t>
      </w:r>
      <w:bookmarkEnd w:id="27"/>
    </w:p>
    <w:p w14:paraId="44D4DE35" w14:textId="3647CC3B" w:rsidR="008A3099" w:rsidRPr="004870C7" w:rsidRDefault="008A3099" w:rsidP="00075CD0">
      <w:pPr>
        <w:pStyle w:val="Heading2"/>
        <w:ind w:left="0"/>
      </w:pPr>
    </w:p>
    <w:p w14:paraId="4BED52CC" w14:textId="73799012" w:rsidR="00D17D41" w:rsidRPr="004870C7" w:rsidRDefault="00D17D41" w:rsidP="00D17D41"/>
    <w:p w14:paraId="19990764" w14:textId="01C04CFC" w:rsidR="00D17D41" w:rsidRPr="004870C7" w:rsidRDefault="00D17D41" w:rsidP="00D17D41">
      <w:r w:rsidRPr="004870C7">
        <w:rPr>
          <w:noProof/>
        </w:rPr>
        <w:drawing>
          <wp:inline distT="0" distB="0" distL="0" distR="0" wp14:anchorId="18901279" wp14:editId="0E417F60">
            <wp:extent cx="5920740" cy="44424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0740" cy="4442460"/>
                    </a:xfrm>
                    <a:prstGeom prst="rect">
                      <a:avLst/>
                    </a:prstGeom>
                    <a:noFill/>
                    <a:ln>
                      <a:noFill/>
                    </a:ln>
                  </pic:spPr>
                </pic:pic>
              </a:graphicData>
            </a:graphic>
          </wp:inline>
        </w:drawing>
      </w:r>
    </w:p>
    <w:p w14:paraId="66283162" w14:textId="646581B3" w:rsidR="009750B4" w:rsidRPr="004870C7" w:rsidRDefault="007E03E7" w:rsidP="00556F17">
      <w:pPr>
        <w:pStyle w:val="Heading2"/>
        <w:ind w:left="0"/>
        <w:rPr>
          <w:rFonts w:ascii="Calibri" w:hAnsi="Calibri"/>
          <w:szCs w:val="22"/>
        </w:rPr>
      </w:pPr>
      <w:r w:rsidRPr="004870C7">
        <w:rPr>
          <w:rFonts w:ascii="Calibri" w:hAnsi="Calibri"/>
          <w:szCs w:val="22"/>
        </w:rPr>
        <w:br w:type="page"/>
      </w:r>
      <w:bookmarkStart w:id="28" w:name="_Toc75965559"/>
      <w:r w:rsidRPr="004870C7">
        <w:rPr>
          <w:rFonts w:ascii="Calibri" w:hAnsi="Calibri"/>
          <w:szCs w:val="22"/>
        </w:rPr>
        <w:lastRenderedPageBreak/>
        <w:t xml:space="preserve">Annex </w:t>
      </w:r>
      <w:r w:rsidR="00D35B7F" w:rsidRPr="004870C7">
        <w:rPr>
          <w:rFonts w:ascii="Calibri" w:hAnsi="Calibri"/>
          <w:szCs w:val="22"/>
        </w:rPr>
        <w:t>3</w:t>
      </w:r>
      <w:r w:rsidRPr="004870C7">
        <w:rPr>
          <w:rFonts w:ascii="Calibri" w:hAnsi="Calibri"/>
          <w:szCs w:val="22"/>
        </w:rPr>
        <w:t xml:space="preserve">: </w:t>
      </w:r>
      <w:r w:rsidR="003E3ABA" w:rsidRPr="004870C7">
        <w:rPr>
          <w:rFonts w:ascii="Calibri" w:hAnsi="Calibri"/>
          <w:szCs w:val="22"/>
        </w:rPr>
        <w:t>Multi Year Work Plan</w:t>
      </w:r>
      <w:bookmarkEnd w:id="28"/>
    </w:p>
    <w:p w14:paraId="2EFB69EC" w14:textId="77777777" w:rsidR="00072CB3" w:rsidRPr="004870C7" w:rsidRDefault="00072CB3" w:rsidP="003B2A79">
      <w:pPr>
        <w:rPr>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39"/>
        <w:gridCol w:w="634"/>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B55FE3" w:rsidRPr="004870C7" w14:paraId="39648FBF" w14:textId="77777777" w:rsidTr="00983641">
        <w:trPr>
          <w:tblHeader/>
        </w:trPr>
        <w:tc>
          <w:tcPr>
            <w:tcW w:w="809" w:type="dxa"/>
            <w:vMerge w:val="restart"/>
            <w:shd w:val="clear" w:color="auto" w:fill="D9D9D9"/>
          </w:tcPr>
          <w:p w14:paraId="7E1B5D18" w14:textId="13C28FAC" w:rsidR="00B55FE3" w:rsidRPr="004870C7" w:rsidRDefault="00B55FE3" w:rsidP="003B2A79">
            <w:pPr>
              <w:rPr>
                <w:b/>
                <w:szCs w:val="22"/>
              </w:rPr>
            </w:pPr>
          </w:p>
        </w:tc>
        <w:tc>
          <w:tcPr>
            <w:tcW w:w="739" w:type="dxa"/>
            <w:vMerge w:val="restart"/>
            <w:shd w:val="clear" w:color="auto" w:fill="D9D9D9"/>
          </w:tcPr>
          <w:p w14:paraId="7ACF642A" w14:textId="2A0E6266" w:rsidR="00B55FE3" w:rsidRPr="004870C7" w:rsidRDefault="00B55FE3" w:rsidP="003B2A79">
            <w:pPr>
              <w:rPr>
                <w:b/>
                <w:szCs w:val="22"/>
              </w:rPr>
            </w:pPr>
            <w:r w:rsidRPr="004870C7">
              <w:rPr>
                <w:b/>
                <w:szCs w:val="22"/>
              </w:rPr>
              <w:t>Out</w:t>
            </w:r>
            <w:r w:rsidR="00C47182" w:rsidRPr="004870C7">
              <w:rPr>
                <w:b/>
                <w:szCs w:val="22"/>
              </w:rPr>
              <w:t>come</w:t>
            </w:r>
            <w:r w:rsidRPr="004870C7">
              <w:rPr>
                <w:b/>
                <w:szCs w:val="22"/>
              </w:rPr>
              <w:t>s</w:t>
            </w:r>
          </w:p>
        </w:tc>
        <w:tc>
          <w:tcPr>
            <w:tcW w:w="634" w:type="dxa"/>
            <w:vMerge w:val="restart"/>
            <w:shd w:val="clear" w:color="auto" w:fill="D9D9D9"/>
          </w:tcPr>
          <w:p w14:paraId="0142A89B" w14:textId="04E19D47" w:rsidR="00B55FE3" w:rsidRPr="004870C7" w:rsidRDefault="00C47182" w:rsidP="005F6745">
            <w:pPr>
              <w:jc w:val="center"/>
              <w:rPr>
                <w:b/>
                <w:szCs w:val="22"/>
              </w:rPr>
            </w:pPr>
            <w:r w:rsidRPr="004870C7">
              <w:rPr>
                <w:b/>
                <w:szCs w:val="22"/>
              </w:rPr>
              <w:t>Outputs</w:t>
            </w:r>
          </w:p>
        </w:tc>
        <w:tc>
          <w:tcPr>
            <w:tcW w:w="1448" w:type="dxa"/>
            <w:gridSpan w:val="4"/>
            <w:shd w:val="clear" w:color="auto" w:fill="D9D9D9"/>
          </w:tcPr>
          <w:p w14:paraId="754AF3D5" w14:textId="77777777" w:rsidR="00B55FE3" w:rsidRPr="004870C7" w:rsidRDefault="00B55FE3" w:rsidP="005F6745">
            <w:pPr>
              <w:jc w:val="center"/>
              <w:rPr>
                <w:b/>
                <w:szCs w:val="22"/>
              </w:rPr>
            </w:pPr>
            <w:r w:rsidRPr="004870C7">
              <w:rPr>
                <w:b/>
                <w:szCs w:val="22"/>
              </w:rPr>
              <w:t>Year 1</w:t>
            </w:r>
          </w:p>
        </w:tc>
        <w:tc>
          <w:tcPr>
            <w:tcW w:w="1448" w:type="dxa"/>
            <w:gridSpan w:val="4"/>
            <w:shd w:val="clear" w:color="auto" w:fill="D9D9D9"/>
          </w:tcPr>
          <w:p w14:paraId="5779350E" w14:textId="77777777" w:rsidR="00B55FE3" w:rsidRPr="004870C7" w:rsidRDefault="00B55FE3" w:rsidP="005F6745">
            <w:pPr>
              <w:jc w:val="center"/>
              <w:rPr>
                <w:b/>
                <w:szCs w:val="22"/>
              </w:rPr>
            </w:pPr>
            <w:r w:rsidRPr="004870C7">
              <w:rPr>
                <w:b/>
                <w:szCs w:val="22"/>
              </w:rPr>
              <w:t>Year 2</w:t>
            </w:r>
          </w:p>
        </w:tc>
        <w:tc>
          <w:tcPr>
            <w:tcW w:w="1448" w:type="dxa"/>
            <w:gridSpan w:val="4"/>
            <w:shd w:val="clear" w:color="auto" w:fill="D9D9D9"/>
          </w:tcPr>
          <w:p w14:paraId="5FF53712" w14:textId="77777777" w:rsidR="00B55FE3" w:rsidRPr="004870C7" w:rsidRDefault="00B55FE3" w:rsidP="005F6745">
            <w:pPr>
              <w:jc w:val="center"/>
              <w:rPr>
                <w:b/>
                <w:szCs w:val="22"/>
              </w:rPr>
            </w:pPr>
            <w:r w:rsidRPr="004870C7">
              <w:rPr>
                <w:b/>
                <w:szCs w:val="22"/>
              </w:rPr>
              <w:t>Year 3</w:t>
            </w:r>
          </w:p>
        </w:tc>
        <w:tc>
          <w:tcPr>
            <w:tcW w:w="1448" w:type="dxa"/>
            <w:gridSpan w:val="4"/>
            <w:shd w:val="clear" w:color="auto" w:fill="D9D9D9"/>
          </w:tcPr>
          <w:p w14:paraId="5D4E9756" w14:textId="77777777" w:rsidR="00B55FE3" w:rsidRPr="004870C7" w:rsidRDefault="00B55FE3" w:rsidP="005F6745">
            <w:pPr>
              <w:jc w:val="center"/>
              <w:rPr>
                <w:b/>
                <w:szCs w:val="22"/>
              </w:rPr>
            </w:pPr>
            <w:r w:rsidRPr="004870C7">
              <w:rPr>
                <w:b/>
                <w:szCs w:val="22"/>
              </w:rPr>
              <w:t>Year 4</w:t>
            </w:r>
          </w:p>
        </w:tc>
        <w:tc>
          <w:tcPr>
            <w:tcW w:w="1448" w:type="dxa"/>
            <w:gridSpan w:val="4"/>
            <w:shd w:val="clear" w:color="auto" w:fill="D9D9D9"/>
          </w:tcPr>
          <w:p w14:paraId="2B10AA5E" w14:textId="77777777" w:rsidR="00B55FE3" w:rsidRPr="004870C7" w:rsidRDefault="00B55FE3" w:rsidP="005F6745">
            <w:pPr>
              <w:jc w:val="center"/>
              <w:rPr>
                <w:b/>
                <w:szCs w:val="22"/>
              </w:rPr>
            </w:pPr>
            <w:r w:rsidRPr="004870C7">
              <w:rPr>
                <w:b/>
                <w:szCs w:val="22"/>
              </w:rPr>
              <w:t>Year 5</w:t>
            </w:r>
          </w:p>
        </w:tc>
      </w:tr>
      <w:tr w:rsidR="009545DB" w:rsidRPr="004870C7" w14:paraId="6BAE803C" w14:textId="77777777" w:rsidTr="004D2A73">
        <w:trPr>
          <w:tblHeader/>
        </w:trPr>
        <w:tc>
          <w:tcPr>
            <w:tcW w:w="809" w:type="dxa"/>
            <w:vMerge/>
            <w:shd w:val="clear" w:color="auto" w:fill="D9D9D9"/>
          </w:tcPr>
          <w:p w14:paraId="61EB63AF" w14:textId="77777777" w:rsidR="00B55FE3" w:rsidRPr="004870C7" w:rsidRDefault="00B55FE3" w:rsidP="009750B4">
            <w:pPr>
              <w:rPr>
                <w:szCs w:val="22"/>
              </w:rPr>
            </w:pPr>
          </w:p>
        </w:tc>
        <w:tc>
          <w:tcPr>
            <w:tcW w:w="739" w:type="dxa"/>
            <w:vMerge/>
            <w:shd w:val="clear" w:color="auto" w:fill="D9D9D9"/>
          </w:tcPr>
          <w:p w14:paraId="1E5C0D7D" w14:textId="77777777" w:rsidR="00B55FE3" w:rsidRPr="004870C7" w:rsidRDefault="00B55FE3" w:rsidP="009750B4">
            <w:pPr>
              <w:rPr>
                <w:szCs w:val="22"/>
              </w:rPr>
            </w:pPr>
          </w:p>
        </w:tc>
        <w:tc>
          <w:tcPr>
            <w:tcW w:w="634" w:type="dxa"/>
            <w:vMerge/>
            <w:shd w:val="clear" w:color="auto" w:fill="D9D9D9"/>
          </w:tcPr>
          <w:p w14:paraId="4C7E30E0" w14:textId="77777777" w:rsidR="00B55FE3" w:rsidRPr="004870C7" w:rsidRDefault="00B55FE3" w:rsidP="009750B4">
            <w:pPr>
              <w:rPr>
                <w:szCs w:val="22"/>
              </w:rPr>
            </w:pPr>
          </w:p>
        </w:tc>
        <w:tc>
          <w:tcPr>
            <w:tcW w:w="362" w:type="dxa"/>
            <w:shd w:val="clear" w:color="auto" w:fill="D9D9D9"/>
          </w:tcPr>
          <w:p w14:paraId="2025F19F" w14:textId="77777777" w:rsidR="00B55FE3" w:rsidRPr="004870C7" w:rsidRDefault="00B55FE3" w:rsidP="009750B4">
            <w:pPr>
              <w:rPr>
                <w:szCs w:val="22"/>
              </w:rPr>
            </w:pPr>
            <w:r w:rsidRPr="004870C7">
              <w:rPr>
                <w:szCs w:val="22"/>
              </w:rPr>
              <w:t>Q1</w:t>
            </w:r>
          </w:p>
        </w:tc>
        <w:tc>
          <w:tcPr>
            <w:tcW w:w="362" w:type="dxa"/>
            <w:shd w:val="clear" w:color="auto" w:fill="D9D9D9"/>
          </w:tcPr>
          <w:p w14:paraId="6AB317FB" w14:textId="77777777" w:rsidR="00B55FE3" w:rsidRPr="004870C7" w:rsidRDefault="00B55FE3" w:rsidP="009750B4">
            <w:pPr>
              <w:rPr>
                <w:szCs w:val="22"/>
              </w:rPr>
            </w:pPr>
            <w:r w:rsidRPr="004870C7">
              <w:rPr>
                <w:szCs w:val="22"/>
              </w:rPr>
              <w:t>Q2</w:t>
            </w:r>
          </w:p>
        </w:tc>
        <w:tc>
          <w:tcPr>
            <w:tcW w:w="362" w:type="dxa"/>
            <w:shd w:val="clear" w:color="auto" w:fill="D9D9D9"/>
          </w:tcPr>
          <w:p w14:paraId="73ABF35D" w14:textId="77777777" w:rsidR="00B55FE3" w:rsidRPr="004870C7" w:rsidRDefault="00B55FE3" w:rsidP="009750B4">
            <w:pPr>
              <w:rPr>
                <w:szCs w:val="22"/>
              </w:rPr>
            </w:pPr>
            <w:r w:rsidRPr="004870C7">
              <w:rPr>
                <w:szCs w:val="22"/>
              </w:rPr>
              <w:t>Q3</w:t>
            </w:r>
          </w:p>
        </w:tc>
        <w:tc>
          <w:tcPr>
            <w:tcW w:w="362" w:type="dxa"/>
            <w:shd w:val="clear" w:color="auto" w:fill="D9D9D9"/>
          </w:tcPr>
          <w:p w14:paraId="26A4284E" w14:textId="77777777" w:rsidR="00B55FE3" w:rsidRPr="004870C7" w:rsidRDefault="00B55FE3" w:rsidP="009750B4">
            <w:pPr>
              <w:rPr>
                <w:szCs w:val="22"/>
              </w:rPr>
            </w:pPr>
            <w:r w:rsidRPr="004870C7">
              <w:rPr>
                <w:szCs w:val="22"/>
              </w:rPr>
              <w:t>Q4</w:t>
            </w:r>
          </w:p>
        </w:tc>
        <w:tc>
          <w:tcPr>
            <w:tcW w:w="362" w:type="dxa"/>
            <w:shd w:val="clear" w:color="auto" w:fill="D9D9D9"/>
          </w:tcPr>
          <w:p w14:paraId="02AAF302" w14:textId="77777777" w:rsidR="00B55FE3" w:rsidRPr="004870C7" w:rsidRDefault="00B55FE3" w:rsidP="009750B4">
            <w:pPr>
              <w:rPr>
                <w:szCs w:val="22"/>
              </w:rPr>
            </w:pPr>
            <w:r w:rsidRPr="004870C7">
              <w:rPr>
                <w:szCs w:val="22"/>
              </w:rPr>
              <w:t>Q1</w:t>
            </w:r>
          </w:p>
        </w:tc>
        <w:tc>
          <w:tcPr>
            <w:tcW w:w="362" w:type="dxa"/>
            <w:shd w:val="clear" w:color="auto" w:fill="D9D9D9"/>
          </w:tcPr>
          <w:p w14:paraId="73394FD1" w14:textId="77777777" w:rsidR="00B55FE3" w:rsidRPr="004870C7" w:rsidRDefault="00B55FE3" w:rsidP="009750B4">
            <w:pPr>
              <w:rPr>
                <w:szCs w:val="22"/>
              </w:rPr>
            </w:pPr>
            <w:r w:rsidRPr="004870C7">
              <w:rPr>
                <w:szCs w:val="22"/>
              </w:rPr>
              <w:t>Q2</w:t>
            </w:r>
          </w:p>
        </w:tc>
        <w:tc>
          <w:tcPr>
            <w:tcW w:w="362" w:type="dxa"/>
            <w:shd w:val="clear" w:color="auto" w:fill="D9D9D9"/>
          </w:tcPr>
          <w:p w14:paraId="78B7F8B0" w14:textId="77777777" w:rsidR="00B55FE3" w:rsidRPr="004870C7" w:rsidRDefault="00B55FE3" w:rsidP="009750B4">
            <w:pPr>
              <w:rPr>
                <w:szCs w:val="22"/>
              </w:rPr>
            </w:pPr>
            <w:r w:rsidRPr="004870C7">
              <w:rPr>
                <w:szCs w:val="22"/>
              </w:rPr>
              <w:t>Q3</w:t>
            </w:r>
          </w:p>
        </w:tc>
        <w:tc>
          <w:tcPr>
            <w:tcW w:w="362" w:type="dxa"/>
            <w:shd w:val="clear" w:color="auto" w:fill="D9D9D9"/>
          </w:tcPr>
          <w:p w14:paraId="44CC8122" w14:textId="77777777" w:rsidR="00B55FE3" w:rsidRPr="004870C7" w:rsidRDefault="00B55FE3" w:rsidP="009750B4">
            <w:pPr>
              <w:rPr>
                <w:szCs w:val="22"/>
              </w:rPr>
            </w:pPr>
            <w:r w:rsidRPr="004870C7">
              <w:rPr>
                <w:szCs w:val="22"/>
              </w:rPr>
              <w:t>Q4</w:t>
            </w:r>
          </w:p>
        </w:tc>
        <w:tc>
          <w:tcPr>
            <w:tcW w:w="362" w:type="dxa"/>
            <w:shd w:val="clear" w:color="auto" w:fill="D9D9D9"/>
          </w:tcPr>
          <w:p w14:paraId="7482BF4E" w14:textId="77777777" w:rsidR="00B55FE3" w:rsidRPr="004870C7" w:rsidRDefault="00B55FE3" w:rsidP="009750B4">
            <w:pPr>
              <w:rPr>
                <w:szCs w:val="22"/>
              </w:rPr>
            </w:pPr>
            <w:r w:rsidRPr="004870C7">
              <w:rPr>
                <w:szCs w:val="22"/>
              </w:rPr>
              <w:t>Q1</w:t>
            </w:r>
          </w:p>
        </w:tc>
        <w:tc>
          <w:tcPr>
            <w:tcW w:w="362" w:type="dxa"/>
            <w:shd w:val="clear" w:color="auto" w:fill="D9D9D9"/>
          </w:tcPr>
          <w:p w14:paraId="56F1F7E3" w14:textId="77777777" w:rsidR="00B55FE3" w:rsidRPr="004870C7" w:rsidRDefault="00B55FE3" w:rsidP="009750B4">
            <w:pPr>
              <w:rPr>
                <w:szCs w:val="22"/>
              </w:rPr>
            </w:pPr>
            <w:r w:rsidRPr="004870C7">
              <w:rPr>
                <w:szCs w:val="22"/>
              </w:rPr>
              <w:t>Q2</w:t>
            </w:r>
          </w:p>
        </w:tc>
        <w:tc>
          <w:tcPr>
            <w:tcW w:w="362" w:type="dxa"/>
            <w:shd w:val="clear" w:color="auto" w:fill="D9D9D9"/>
          </w:tcPr>
          <w:p w14:paraId="1BBFB6AE" w14:textId="77777777" w:rsidR="00B55FE3" w:rsidRPr="004870C7" w:rsidRDefault="00B55FE3" w:rsidP="009750B4">
            <w:pPr>
              <w:rPr>
                <w:szCs w:val="22"/>
              </w:rPr>
            </w:pPr>
            <w:r w:rsidRPr="004870C7">
              <w:rPr>
                <w:szCs w:val="22"/>
              </w:rPr>
              <w:t>Q3</w:t>
            </w:r>
          </w:p>
        </w:tc>
        <w:tc>
          <w:tcPr>
            <w:tcW w:w="362" w:type="dxa"/>
            <w:shd w:val="clear" w:color="auto" w:fill="D9D9D9"/>
          </w:tcPr>
          <w:p w14:paraId="24CFE450" w14:textId="77777777" w:rsidR="00B55FE3" w:rsidRPr="004870C7" w:rsidRDefault="00B55FE3" w:rsidP="009750B4">
            <w:pPr>
              <w:rPr>
                <w:szCs w:val="22"/>
              </w:rPr>
            </w:pPr>
            <w:r w:rsidRPr="004870C7">
              <w:rPr>
                <w:szCs w:val="22"/>
              </w:rPr>
              <w:t>Q4</w:t>
            </w:r>
          </w:p>
        </w:tc>
        <w:tc>
          <w:tcPr>
            <w:tcW w:w="362" w:type="dxa"/>
            <w:shd w:val="clear" w:color="auto" w:fill="D9D9D9"/>
          </w:tcPr>
          <w:p w14:paraId="5676A641" w14:textId="77777777" w:rsidR="00B55FE3" w:rsidRPr="004870C7" w:rsidRDefault="00B55FE3" w:rsidP="009750B4">
            <w:pPr>
              <w:rPr>
                <w:szCs w:val="22"/>
              </w:rPr>
            </w:pPr>
            <w:r w:rsidRPr="004870C7">
              <w:rPr>
                <w:szCs w:val="22"/>
              </w:rPr>
              <w:t>Q1</w:t>
            </w:r>
          </w:p>
        </w:tc>
        <w:tc>
          <w:tcPr>
            <w:tcW w:w="362" w:type="dxa"/>
            <w:shd w:val="clear" w:color="auto" w:fill="D9D9D9"/>
          </w:tcPr>
          <w:p w14:paraId="20D4F99C" w14:textId="77777777" w:rsidR="00B55FE3" w:rsidRPr="004870C7" w:rsidRDefault="00B55FE3" w:rsidP="009750B4">
            <w:pPr>
              <w:rPr>
                <w:szCs w:val="22"/>
              </w:rPr>
            </w:pPr>
            <w:r w:rsidRPr="004870C7">
              <w:rPr>
                <w:szCs w:val="22"/>
              </w:rPr>
              <w:t>Q2</w:t>
            </w:r>
          </w:p>
        </w:tc>
        <w:tc>
          <w:tcPr>
            <w:tcW w:w="362" w:type="dxa"/>
            <w:shd w:val="clear" w:color="auto" w:fill="D9D9D9"/>
          </w:tcPr>
          <w:p w14:paraId="2578A207" w14:textId="77777777" w:rsidR="00B55FE3" w:rsidRPr="004870C7" w:rsidRDefault="00B55FE3" w:rsidP="009750B4">
            <w:pPr>
              <w:rPr>
                <w:szCs w:val="22"/>
              </w:rPr>
            </w:pPr>
            <w:r w:rsidRPr="004870C7">
              <w:rPr>
                <w:szCs w:val="22"/>
              </w:rPr>
              <w:t>Q3</w:t>
            </w:r>
          </w:p>
        </w:tc>
        <w:tc>
          <w:tcPr>
            <w:tcW w:w="362" w:type="dxa"/>
            <w:shd w:val="clear" w:color="auto" w:fill="D9D9D9"/>
          </w:tcPr>
          <w:p w14:paraId="1FEC9D8B" w14:textId="77777777" w:rsidR="00B55FE3" w:rsidRPr="004870C7" w:rsidRDefault="00B55FE3" w:rsidP="009750B4">
            <w:pPr>
              <w:rPr>
                <w:szCs w:val="22"/>
              </w:rPr>
            </w:pPr>
            <w:r w:rsidRPr="004870C7">
              <w:rPr>
                <w:szCs w:val="22"/>
              </w:rPr>
              <w:t>Q4</w:t>
            </w:r>
          </w:p>
        </w:tc>
        <w:tc>
          <w:tcPr>
            <w:tcW w:w="362" w:type="dxa"/>
            <w:shd w:val="clear" w:color="auto" w:fill="D9D9D9"/>
          </w:tcPr>
          <w:p w14:paraId="53649D69" w14:textId="77777777" w:rsidR="00B55FE3" w:rsidRPr="004870C7" w:rsidRDefault="00B55FE3" w:rsidP="009750B4">
            <w:pPr>
              <w:rPr>
                <w:szCs w:val="22"/>
              </w:rPr>
            </w:pPr>
            <w:r w:rsidRPr="004870C7">
              <w:rPr>
                <w:szCs w:val="22"/>
              </w:rPr>
              <w:t>Q1</w:t>
            </w:r>
          </w:p>
        </w:tc>
        <w:tc>
          <w:tcPr>
            <w:tcW w:w="362" w:type="dxa"/>
            <w:shd w:val="clear" w:color="auto" w:fill="D9D9D9"/>
          </w:tcPr>
          <w:p w14:paraId="55F79CA9" w14:textId="77777777" w:rsidR="00B55FE3" w:rsidRPr="004870C7" w:rsidRDefault="00B55FE3" w:rsidP="009750B4">
            <w:pPr>
              <w:rPr>
                <w:szCs w:val="22"/>
              </w:rPr>
            </w:pPr>
            <w:r w:rsidRPr="004870C7">
              <w:rPr>
                <w:szCs w:val="22"/>
              </w:rPr>
              <w:t>Q2</w:t>
            </w:r>
          </w:p>
        </w:tc>
        <w:tc>
          <w:tcPr>
            <w:tcW w:w="362" w:type="dxa"/>
            <w:shd w:val="clear" w:color="auto" w:fill="D9D9D9"/>
          </w:tcPr>
          <w:p w14:paraId="1741DF3B" w14:textId="77777777" w:rsidR="00B55FE3" w:rsidRPr="004870C7" w:rsidRDefault="00B55FE3" w:rsidP="009750B4">
            <w:pPr>
              <w:rPr>
                <w:szCs w:val="22"/>
              </w:rPr>
            </w:pPr>
            <w:r w:rsidRPr="004870C7">
              <w:rPr>
                <w:szCs w:val="22"/>
              </w:rPr>
              <w:t>Q3</w:t>
            </w:r>
          </w:p>
        </w:tc>
        <w:tc>
          <w:tcPr>
            <w:tcW w:w="362" w:type="dxa"/>
            <w:shd w:val="clear" w:color="auto" w:fill="D9D9D9"/>
          </w:tcPr>
          <w:p w14:paraId="551D9A1F" w14:textId="77777777" w:rsidR="00B55FE3" w:rsidRPr="004870C7" w:rsidRDefault="00B55FE3" w:rsidP="009750B4">
            <w:pPr>
              <w:rPr>
                <w:szCs w:val="22"/>
              </w:rPr>
            </w:pPr>
            <w:r w:rsidRPr="004870C7">
              <w:rPr>
                <w:szCs w:val="22"/>
              </w:rPr>
              <w:t>Q4</w:t>
            </w:r>
          </w:p>
        </w:tc>
      </w:tr>
      <w:tr w:rsidR="00CE078C" w:rsidRPr="004870C7" w14:paraId="141616CC" w14:textId="77777777" w:rsidTr="00E27A50">
        <w:tc>
          <w:tcPr>
            <w:tcW w:w="809" w:type="dxa"/>
            <w:vMerge w:val="restart"/>
            <w:vAlign w:val="center"/>
          </w:tcPr>
          <w:p w14:paraId="207A69FF" w14:textId="5E5B6570" w:rsidR="00CE078C" w:rsidRPr="004870C7" w:rsidRDefault="00CE078C" w:rsidP="00CD29BD">
            <w:pPr>
              <w:jc w:val="center"/>
              <w:rPr>
                <w:szCs w:val="22"/>
              </w:rPr>
            </w:pPr>
            <w:r w:rsidRPr="004870C7">
              <w:rPr>
                <w:szCs w:val="22"/>
              </w:rPr>
              <w:t>Component 1</w:t>
            </w:r>
          </w:p>
        </w:tc>
        <w:tc>
          <w:tcPr>
            <w:tcW w:w="739" w:type="dxa"/>
            <w:vMerge w:val="restart"/>
            <w:shd w:val="clear" w:color="auto" w:fill="auto"/>
            <w:vAlign w:val="center"/>
          </w:tcPr>
          <w:p w14:paraId="13411A34" w14:textId="05D2CAE7" w:rsidR="00CE078C" w:rsidRPr="004870C7" w:rsidRDefault="00CE078C" w:rsidP="00CE078C">
            <w:pPr>
              <w:jc w:val="center"/>
              <w:rPr>
                <w:szCs w:val="22"/>
              </w:rPr>
            </w:pPr>
            <w:r w:rsidRPr="004870C7">
              <w:rPr>
                <w:szCs w:val="22"/>
              </w:rPr>
              <w:t>1.1</w:t>
            </w:r>
          </w:p>
        </w:tc>
        <w:tc>
          <w:tcPr>
            <w:tcW w:w="634" w:type="dxa"/>
          </w:tcPr>
          <w:p w14:paraId="43970A11" w14:textId="718FB54E" w:rsidR="00CE078C" w:rsidRPr="004870C7" w:rsidRDefault="00CE078C" w:rsidP="003B2A79">
            <w:pPr>
              <w:rPr>
                <w:szCs w:val="22"/>
              </w:rPr>
            </w:pPr>
            <w:r w:rsidRPr="004870C7">
              <w:rPr>
                <w:szCs w:val="22"/>
              </w:rPr>
              <w:t>1.1.1</w:t>
            </w:r>
          </w:p>
        </w:tc>
        <w:tc>
          <w:tcPr>
            <w:tcW w:w="362" w:type="dxa"/>
            <w:shd w:val="clear" w:color="auto" w:fill="auto"/>
          </w:tcPr>
          <w:p w14:paraId="146A0B77" w14:textId="77777777" w:rsidR="00CE078C" w:rsidRPr="004870C7" w:rsidRDefault="00CE078C" w:rsidP="003B2A79">
            <w:pPr>
              <w:rPr>
                <w:szCs w:val="22"/>
              </w:rPr>
            </w:pPr>
          </w:p>
        </w:tc>
        <w:tc>
          <w:tcPr>
            <w:tcW w:w="362" w:type="dxa"/>
            <w:shd w:val="clear" w:color="auto" w:fill="auto"/>
          </w:tcPr>
          <w:p w14:paraId="43468D2D" w14:textId="77777777" w:rsidR="00CE078C" w:rsidRPr="004870C7" w:rsidRDefault="00CE078C" w:rsidP="003B2A79">
            <w:pPr>
              <w:rPr>
                <w:szCs w:val="22"/>
              </w:rPr>
            </w:pPr>
          </w:p>
        </w:tc>
        <w:tc>
          <w:tcPr>
            <w:tcW w:w="362" w:type="dxa"/>
            <w:shd w:val="clear" w:color="auto" w:fill="auto"/>
          </w:tcPr>
          <w:p w14:paraId="04A2D2FD" w14:textId="77777777" w:rsidR="00CE078C" w:rsidRPr="004870C7" w:rsidRDefault="00CE078C" w:rsidP="003B2A79">
            <w:pPr>
              <w:rPr>
                <w:szCs w:val="22"/>
              </w:rPr>
            </w:pPr>
          </w:p>
        </w:tc>
        <w:tc>
          <w:tcPr>
            <w:tcW w:w="362" w:type="dxa"/>
            <w:shd w:val="clear" w:color="auto" w:fill="auto"/>
          </w:tcPr>
          <w:p w14:paraId="7584ED01" w14:textId="77777777" w:rsidR="00CE078C" w:rsidRPr="004870C7" w:rsidRDefault="00CE078C" w:rsidP="003B2A79">
            <w:pPr>
              <w:rPr>
                <w:szCs w:val="22"/>
              </w:rPr>
            </w:pPr>
          </w:p>
        </w:tc>
        <w:tc>
          <w:tcPr>
            <w:tcW w:w="362" w:type="dxa"/>
            <w:shd w:val="clear" w:color="auto" w:fill="auto"/>
          </w:tcPr>
          <w:p w14:paraId="078528F1" w14:textId="77777777" w:rsidR="00CE078C" w:rsidRPr="004870C7" w:rsidRDefault="00CE078C" w:rsidP="003B2A79">
            <w:pPr>
              <w:rPr>
                <w:szCs w:val="22"/>
              </w:rPr>
            </w:pPr>
          </w:p>
        </w:tc>
        <w:tc>
          <w:tcPr>
            <w:tcW w:w="362" w:type="dxa"/>
            <w:shd w:val="clear" w:color="auto" w:fill="auto"/>
          </w:tcPr>
          <w:p w14:paraId="1A80567B" w14:textId="77777777" w:rsidR="00CE078C" w:rsidRPr="004870C7" w:rsidRDefault="00CE078C" w:rsidP="003B2A79">
            <w:pPr>
              <w:rPr>
                <w:szCs w:val="22"/>
              </w:rPr>
            </w:pPr>
          </w:p>
        </w:tc>
        <w:tc>
          <w:tcPr>
            <w:tcW w:w="362" w:type="dxa"/>
            <w:shd w:val="clear" w:color="auto" w:fill="auto"/>
          </w:tcPr>
          <w:p w14:paraId="4882779D" w14:textId="77777777" w:rsidR="00CE078C" w:rsidRPr="004870C7" w:rsidRDefault="00CE078C" w:rsidP="003B2A79">
            <w:pPr>
              <w:rPr>
                <w:szCs w:val="22"/>
              </w:rPr>
            </w:pPr>
          </w:p>
        </w:tc>
        <w:tc>
          <w:tcPr>
            <w:tcW w:w="362" w:type="dxa"/>
            <w:shd w:val="clear" w:color="auto" w:fill="auto"/>
          </w:tcPr>
          <w:p w14:paraId="50338E16" w14:textId="77777777" w:rsidR="00CE078C" w:rsidRPr="004870C7" w:rsidRDefault="00CE078C" w:rsidP="003B2A79">
            <w:pPr>
              <w:rPr>
                <w:szCs w:val="22"/>
              </w:rPr>
            </w:pPr>
          </w:p>
        </w:tc>
        <w:tc>
          <w:tcPr>
            <w:tcW w:w="362" w:type="dxa"/>
            <w:shd w:val="clear" w:color="auto" w:fill="auto"/>
          </w:tcPr>
          <w:p w14:paraId="64DEC9D7" w14:textId="77777777" w:rsidR="00CE078C" w:rsidRPr="004870C7" w:rsidRDefault="00CE078C" w:rsidP="003B2A79">
            <w:pPr>
              <w:rPr>
                <w:szCs w:val="22"/>
              </w:rPr>
            </w:pPr>
          </w:p>
        </w:tc>
        <w:tc>
          <w:tcPr>
            <w:tcW w:w="362" w:type="dxa"/>
            <w:shd w:val="clear" w:color="auto" w:fill="auto"/>
          </w:tcPr>
          <w:p w14:paraId="51F233DE" w14:textId="77777777" w:rsidR="00CE078C" w:rsidRPr="004870C7" w:rsidRDefault="00CE078C" w:rsidP="003B2A79">
            <w:pPr>
              <w:rPr>
                <w:szCs w:val="22"/>
              </w:rPr>
            </w:pPr>
          </w:p>
        </w:tc>
        <w:tc>
          <w:tcPr>
            <w:tcW w:w="362" w:type="dxa"/>
            <w:shd w:val="clear" w:color="auto" w:fill="B4C6E7" w:themeFill="accent1" w:themeFillTint="66"/>
          </w:tcPr>
          <w:p w14:paraId="53BCA1AA" w14:textId="77777777" w:rsidR="00CE078C" w:rsidRPr="004870C7" w:rsidRDefault="00CE078C" w:rsidP="003B2A79">
            <w:pPr>
              <w:rPr>
                <w:szCs w:val="22"/>
              </w:rPr>
            </w:pPr>
          </w:p>
        </w:tc>
        <w:tc>
          <w:tcPr>
            <w:tcW w:w="362" w:type="dxa"/>
            <w:shd w:val="clear" w:color="auto" w:fill="B4C6E7" w:themeFill="accent1" w:themeFillTint="66"/>
          </w:tcPr>
          <w:p w14:paraId="0692E4AE" w14:textId="77777777" w:rsidR="00CE078C" w:rsidRPr="004870C7" w:rsidRDefault="00CE078C" w:rsidP="003B2A79">
            <w:pPr>
              <w:rPr>
                <w:szCs w:val="22"/>
              </w:rPr>
            </w:pPr>
          </w:p>
        </w:tc>
        <w:tc>
          <w:tcPr>
            <w:tcW w:w="362" w:type="dxa"/>
            <w:shd w:val="clear" w:color="auto" w:fill="B4C6E7" w:themeFill="accent1" w:themeFillTint="66"/>
          </w:tcPr>
          <w:p w14:paraId="4C5BAC98" w14:textId="77777777" w:rsidR="00CE078C" w:rsidRPr="004870C7" w:rsidRDefault="00CE078C" w:rsidP="003B2A79">
            <w:pPr>
              <w:rPr>
                <w:szCs w:val="22"/>
                <w:highlight w:val="cyan"/>
              </w:rPr>
            </w:pPr>
          </w:p>
        </w:tc>
        <w:tc>
          <w:tcPr>
            <w:tcW w:w="362" w:type="dxa"/>
            <w:shd w:val="clear" w:color="auto" w:fill="B4C6E7" w:themeFill="accent1" w:themeFillTint="66"/>
          </w:tcPr>
          <w:p w14:paraId="73F924B3" w14:textId="77777777" w:rsidR="00CE078C" w:rsidRPr="004870C7" w:rsidRDefault="00CE078C" w:rsidP="003B2A79">
            <w:pPr>
              <w:rPr>
                <w:szCs w:val="22"/>
                <w:highlight w:val="cyan"/>
              </w:rPr>
            </w:pPr>
          </w:p>
        </w:tc>
        <w:tc>
          <w:tcPr>
            <w:tcW w:w="362" w:type="dxa"/>
            <w:shd w:val="clear" w:color="auto" w:fill="auto"/>
          </w:tcPr>
          <w:p w14:paraId="3801CCEE" w14:textId="77777777" w:rsidR="00CE078C" w:rsidRPr="004870C7" w:rsidRDefault="00CE078C" w:rsidP="003B2A79">
            <w:pPr>
              <w:rPr>
                <w:szCs w:val="22"/>
              </w:rPr>
            </w:pPr>
          </w:p>
        </w:tc>
        <w:tc>
          <w:tcPr>
            <w:tcW w:w="362" w:type="dxa"/>
            <w:shd w:val="clear" w:color="auto" w:fill="auto"/>
          </w:tcPr>
          <w:p w14:paraId="381FA180" w14:textId="77777777" w:rsidR="00CE078C" w:rsidRPr="004870C7" w:rsidRDefault="00CE078C" w:rsidP="003B2A79">
            <w:pPr>
              <w:rPr>
                <w:szCs w:val="22"/>
              </w:rPr>
            </w:pPr>
          </w:p>
        </w:tc>
        <w:tc>
          <w:tcPr>
            <w:tcW w:w="362" w:type="dxa"/>
            <w:shd w:val="clear" w:color="auto" w:fill="auto"/>
          </w:tcPr>
          <w:p w14:paraId="30837994" w14:textId="77777777" w:rsidR="00CE078C" w:rsidRPr="004870C7" w:rsidRDefault="00CE078C" w:rsidP="003B2A79">
            <w:pPr>
              <w:rPr>
                <w:szCs w:val="22"/>
              </w:rPr>
            </w:pPr>
          </w:p>
        </w:tc>
        <w:tc>
          <w:tcPr>
            <w:tcW w:w="362" w:type="dxa"/>
            <w:shd w:val="clear" w:color="auto" w:fill="auto"/>
          </w:tcPr>
          <w:p w14:paraId="3EDBE095" w14:textId="77777777" w:rsidR="00CE078C" w:rsidRPr="004870C7" w:rsidRDefault="00CE078C" w:rsidP="003B2A79">
            <w:pPr>
              <w:rPr>
                <w:szCs w:val="22"/>
              </w:rPr>
            </w:pPr>
          </w:p>
        </w:tc>
        <w:tc>
          <w:tcPr>
            <w:tcW w:w="362" w:type="dxa"/>
            <w:shd w:val="clear" w:color="auto" w:fill="auto"/>
          </w:tcPr>
          <w:p w14:paraId="1443885A" w14:textId="77777777" w:rsidR="00CE078C" w:rsidRPr="004870C7" w:rsidRDefault="00CE078C" w:rsidP="003B2A79">
            <w:pPr>
              <w:rPr>
                <w:szCs w:val="22"/>
              </w:rPr>
            </w:pPr>
          </w:p>
        </w:tc>
        <w:tc>
          <w:tcPr>
            <w:tcW w:w="362" w:type="dxa"/>
            <w:shd w:val="clear" w:color="auto" w:fill="auto"/>
          </w:tcPr>
          <w:p w14:paraId="7DD29E76" w14:textId="77777777" w:rsidR="00CE078C" w:rsidRPr="004870C7" w:rsidRDefault="00CE078C" w:rsidP="003B2A79">
            <w:pPr>
              <w:rPr>
                <w:szCs w:val="22"/>
              </w:rPr>
            </w:pPr>
          </w:p>
        </w:tc>
      </w:tr>
      <w:tr w:rsidR="00CE078C" w:rsidRPr="004870C7" w14:paraId="07764145" w14:textId="77777777" w:rsidTr="00CE078C">
        <w:tc>
          <w:tcPr>
            <w:tcW w:w="809" w:type="dxa"/>
            <w:vMerge/>
          </w:tcPr>
          <w:p w14:paraId="2E754263" w14:textId="77777777" w:rsidR="00CE078C" w:rsidRPr="004870C7" w:rsidRDefault="00CE078C" w:rsidP="003B2A79">
            <w:pPr>
              <w:rPr>
                <w:szCs w:val="22"/>
              </w:rPr>
            </w:pPr>
          </w:p>
        </w:tc>
        <w:tc>
          <w:tcPr>
            <w:tcW w:w="739" w:type="dxa"/>
            <w:vMerge/>
            <w:shd w:val="clear" w:color="auto" w:fill="auto"/>
            <w:vAlign w:val="center"/>
          </w:tcPr>
          <w:p w14:paraId="6380A53B" w14:textId="77777777" w:rsidR="00CE078C" w:rsidRPr="004870C7" w:rsidRDefault="00CE078C" w:rsidP="00CE078C">
            <w:pPr>
              <w:jc w:val="center"/>
              <w:rPr>
                <w:szCs w:val="22"/>
              </w:rPr>
            </w:pPr>
          </w:p>
        </w:tc>
        <w:tc>
          <w:tcPr>
            <w:tcW w:w="634" w:type="dxa"/>
          </w:tcPr>
          <w:p w14:paraId="594FBD65" w14:textId="051E758D" w:rsidR="00CE078C" w:rsidRPr="004870C7" w:rsidRDefault="00CE078C" w:rsidP="003B2A79">
            <w:pPr>
              <w:rPr>
                <w:szCs w:val="22"/>
              </w:rPr>
            </w:pPr>
            <w:r w:rsidRPr="004870C7">
              <w:rPr>
                <w:szCs w:val="22"/>
              </w:rPr>
              <w:t>1.1.2</w:t>
            </w:r>
          </w:p>
        </w:tc>
        <w:tc>
          <w:tcPr>
            <w:tcW w:w="362" w:type="dxa"/>
            <w:shd w:val="clear" w:color="auto" w:fill="auto"/>
          </w:tcPr>
          <w:p w14:paraId="6321BA49" w14:textId="77777777" w:rsidR="00CE078C" w:rsidRPr="004870C7" w:rsidRDefault="00CE078C" w:rsidP="003B2A79">
            <w:pPr>
              <w:rPr>
                <w:szCs w:val="22"/>
              </w:rPr>
            </w:pPr>
          </w:p>
        </w:tc>
        <w:tc>
          <w:tcPr>
            <w:tcW w:w="362" w:type="dxa"/>
            <w:shd w:val="clear" w:color="auto" w:fill="auto"/>
          </w:tcPr>
          <w:p w14:paraId="1FF46042" w14:textId="77777777" w:rsidR="00CE078C" w:rsidRPr="004870C7" w:rsidRDefault="00CE078C" w:rsidP="003B2A79">
            <w:pPr>
              <w:rPr>
                <w:szCs w:val="22"/>
              </w:rPr>
            </w:pPr>
          </w:p>
        </w:tc>
        <w:tc>
          <w:tcPr>
            <w:tcW w:w="362" w:type="dxa"/>
            <w:shd w:val="clear" w:color="auto" w:fill="auto"/>
          </w:tcPr>
          <w:p w14:paraId="7D1D805E" w14:textId="77777777" w:rsidR="00CE078C" w:rsidRPr="004870C7" w:rsidRDefault="00CE078C" w:rsidP="003B2A79">
            <w:pPr>
              <w:rPr>
                <w:szCs w:val="22"/>
              </w:rPr>
            </w:pPr>
          </w:p>
        </w:tc>
        <w:tc>
          <w:tcPr>
            <w:tcW w:w="362" w:type="dxa"/>
            <w:shd w:val="clear" w:color="auto" w:fill="auto"/>
          </w:tcPr>
          <w:p w14:paraId="6FD27F6C" w14:textId="77777777" w:rsidR="00CE078C" w:rsidRPr="004870C7" w:rsidRDefault="00CE078C" w:rsidP="003B2A79">
            <w:pPr>
              <w:rPr>
                <w:szCs w:val="22"/>
              </w:rPr>
            </w:pPr>
          </w:p>
        </w:tc>
        <w:tc>
          <w:tcPr>
            <w:tcW w:w="362" w:type="dxa"/>
            <w:shd w:val="clear" w:color="auto" w:fill="auto"/>
          </w:tcPr>
          <w:p w14:paraId="796F3403" w14:textId="77777777" w:rsidR="00CE078C" w:rsidRPr="004870C7" w:rsidRDefault="00CE078C" w:rsidP="003B2A79">
            <w:pPr>
              <w:rPr>
                <w:szCs w:val="22"/>
              </w:rPr>
            </w:pPr>
          </w:p>
        </w:tc>
        <w:tc>
          <w:tcPr>
            <w:tcW w:w="362" w:type="dxa"/>
            <w:shd w:val="clear" w:color="auto" w:fill="auto"/>
          </w:tcPr>
          <w:p w14:paraId="3A2B58F1" w14:textId="77777777" w:rsidR="00CE078C" w:rsidRPr="004870C7" w:rsidRDefault="00CE078C" w:rsidP="003B2A79">
            <w:pPr>
              <w:rPr>
                <w:szCs w:val="22"/>
              </w:rPr>
            </w:pPr>
          </w:p>
        </w:tc>
        <w:tc>
          <w:tcPr>
            <w:tcW w:w="362" w:type="dxa"/>
            <w:shd w:val="clear" w:color="auto" w:fill="auto"/>
          </w:tcPr>
          <w:p w14:paraId="2BFFE726" w14:textId="77777777" w:rsidR="00CE078C" w:rsidRPr="004870C7" w:rsidRDefault="00CE078C" w:rsidP="003B2A79">
            <w:pPr>
              <w:rPr>
                <w:szCs w:val="22"/>
              </w:rPr>
            </w:pPr>
          </w:p>
        </w:tc>
        <w:tc>
          <w:tcPr>
            <w:tcW w:w="362" w:type="dxa"/>
            <w:shd w:val="clear" w:color="auto" w:fill="auto"/>
          </w:tcPr>
          <w:p w14:paraId="13536F3B" w14:textId="77777777" w:rsidR="00CE078C" w:rsidRPr="004870C7" w:rsidRDefault="00CE078C" w:rsidP="003B2A79">
            <w:pPr>
              <w:rPr>
                <w:szCs w:val="22"/>
              </w:rPr>
            </w:pPr>
          </w:p>
        </w:tc>
        <w:tc>
          <w:tcPr>
            <w:tcW w:w="362" w:type="dxa"/>
            <w:shd w:val="clear" w:color="auto" w:fill="auto"/>
          </w:tcPr>
          <w:p w14:paraId="02DED66C" w14:textId="77777777" w:rsidR="00CE078C" w:rsidRPr="004870C7" w:rsidRDefault="00CE078C" w:rsidP="003B2A79">
            <w:pPr>
              <w:rPr>
                <w:szCs w:val="22"/>
              </w:rPr>
            </w:pPr>
          </w:p>
        </w:tc>
        <w:tc>
          <w:tcPr>
            <w:tcW w:w="362" w:type="dxa"/>
            <w:shd w:val="clear" w:color="auto" w:fill="auto"/>
          </w:tcPr>
          <w:p w14:paraId="39D49240" w14:textId="77777777" w:rsidR="00CE078C" w:rsidRPr="004870C7" w:rsidRDefault="00CE078C" w:rsidP="003B2A79">
            <w:pPr>
              <w:rPr>
                <w:szCs w:val="22"/>
              </w:rPr>
            </w:pPr>
          </w:p>
        </w:tc>
        <w:tc>
          <w:tcPr>
            <w:tcW w:w="362" w:type="dxa"/>
            <w:shd w:val="clear" w:color="auto" w:fill="B4C6E7" w:themeFill="accent1" w:themeFillTint="66"/>
          </w:tcPr>
          <w:p w14:paraId="2AFB70C1" w14:textId="77777777" w:rsidR="00CE078C" w:rsidRPr="004870C7" w:rsidRDefault="00CE078C" w:rsidP="003B2A79">
            <w:pPr>
              <w:rPr>
                <w:szCs w:val="22"/>
              </w:rPr>
            </w:pPr>
          </w:p>
        </w:tc>
        <w:tc>
          <w:tcPr>
            <w:tcW w:w="362" w:type="dxa"/>
            <w:shd w:val="clear" w:color="auto" w:fill="B4C6E7" w:themeFill="accent1" w:themeFillTint="66"/>
          </w:tcPr>
          <w:p w14:paraId="0B215BE1" w14:textId="77777777" w:rsidR="00CE078C" w:rsidRPr="004870C7" w:rsidRDefault="00CE078C" w:rsidP="003B2A79">
            <w:pPr>
              <w:rPr>
                <w:szCs w:val="22"/>
              </w:rPr>
            </w:pPr>
          </w:p>
        </w:tc>
        <w:tc>
          <w:tcPr>
            <w:tcW w:w="362" w:type="dxa"/>
            <w:shd w:val="clear" w:color="auto" w:fill="B4C6E7" w:themeFill="accent1" w:themeFillTint="66"/>
          </w:tcPr>
          <w:p w14:paraId="19CE9052" w14:textId="77777777" w:rsidR="00CE078C" w:rsidRPr="004870C7" w:rsidRDefault="00CE078C" w:rsidP="003B2A79">
            <w:pPr>
              <w:rPr>
                <w:szCs w:val="22"/>
              </w:rPr>
            </w:pPr>
          </w:p>
        </w:tc>
        <w:tc>
          <w:tcPr>
            <w:tcW w:w="362" w:type="dxa"/>
            <w:shd w:val="clear" w:color="auto" w:fill="B4C6E7" w:themeFill="accent1" w:themeFillTint="66"/>
          </w:tcPr>
          <w:p w14:paraId="24835B81" w14:textId="77777777" w:rsidR="00CE078C" w:rsidRPr="004870C7" w:rsidRDefault="00CE078C" w:rsidP="003B2A79">
            <w:pPr>
              <w:rPr>
                <w:szCs w:val="22"/>
              </w:rPr>
            </w:pPr>
          </w:p>
        </w:tc>
        <w:tc>
          <w:tcPr>
            <w:tcW w:w="362" w:type="dxa"/>
            <w:shd w:val="clear" w:color="auto" w:fill="B4C6E7" w:themeFill="accent1" w:themeFillTint="66"/>
          </w:tcPr>
          <w:p w14:paraId="5E5A22CD" w14:textId="77777777" w:rsidR="00CE078C" w:rsidRPr="004870C7" w:rsidRDefault="00CE078C" w:rsidP="003B2A79">
            <w:pPr>
              <w:rPr>
                <w:szCs w:val="22"/>
              </w:rPr>
            </w:pPr>
          </w:p>
        </w:tc>
        <w:tc>
          <w:tcPr>
            <w:tcW w:w="362" w:type="dxa"/>
            <w:shd w:val="clear" w:color="auto" w:fill="auto"/>
          </w:tcPr>
          <w:p w14:paraId="42F6027E" w14:textId="77777777" w:rsidR="00CE078C" w:rsidRPr="004870C7" w:rsidRDefault="00CE078C" w:rsidP="003B2A79">
            <w:pPr>
              <w:rPr>
                <w:szCs w:val="22"/>
              </w:rPr>
            </w:pPr>
          </w:p>
        </w:tc>
        <w:tc>
          <w:tcPr>
            <w:tcW w:w="362" w:type="dxa"/>
            <w:shd w:val="clear" w:color="auto" w:fill="auto"/>
          </w:tcPr>
          <w:p w14:paraId="72CA6473" w14:textId="77777777" w:rsidR="00CE078C" w:rsidRPr="004870C7" w:rsidRDefault="00CE078C" w:rsidP="003B2A79">
            <w:pPr>
              <w:rPr>
                <w:szCs w:val="22"/>
              </w:rPr>
            </w:pPr>
          </w:p>
        </w:tc>
        <w:tc>
          <w:tcPr>
            <w:tcW w:w="362" w:type="dxa"/>
            <w:shd w:val="clear" w:color="auto" w:fill="auto"/>
          </w:tcPr>
          <w:p w14:paraId="597C9752" w14:textId="77777777" w:rsidR="00CE078C" w:rsidRPr="004870C7" w:rsidRDefault="00CE078C" w:rsidP="003B2A79">
            <w:pPr>
              <w:rPr>
                <w:szCs w:val="22"/>
              </w:rPr>
            </w:pPr>
          </w:p>
        </w:tc>
        <w:tc>
          <w:tcPr>
            <w:tcW w:w="362" w:type="dxa"/>
            <w:shd w:val="clear" w:color="auto" w:fill="auto"/>
          </w:tcPr>
          <w:p w14:paraId="1BC61542" w14:textId="77777777" w:rsidR="00CE078C" w:rsidRPr="004870C7" w:rsidRDefault="00CE078C" w:rsidP="003B2A79">
            <w:pPr>
              <w:rPr>
                <w:szCs w:val="22"/>
              </w:rPr>
            </w:pPr>
          </w:p>
        </w:tc>
        <w:tc>
          <w:tcPr>
            <w:tcW w:w="362" w:type="dxa"/>
            <w:shd w:val="clear" w:color="auto" w:fill="auto"/>
          </w:tcPr>
          <w:p w14:paraId="192A511B" w14:textId="77777777" w:rsidR="00CE078C" w:rsidRPr="004870C7" w:rsidRDefault="00CE078C" w:rsidP="003B2A79">
            <w:pPr>
              <w:rPr>
                <w:szCs w:val="22"/>
              </w:rPr>
            </w:pPr>
          </w:p>
        </w:tc>
      </w:tr>
      <w:tr w:rsidR="00CE078C" w:rsidRPr="004870C7" w14:paraId="164647E6" w14:textId="77777777" w:rsidTr="00CE078C">
        <w:tc>
          <w:tcPr>
            <w:tcW w:w="809" w:type="dxa"/>
            <w:vMerge/>
          </w:tcPr>
          <w:p w14:paraId="07CBE490" w14:textId="77777777" w:rsidR="00CE078C" w:rsidRPr="004870C7" w:rsidRDefault="00CE078C" w:rsidP="003B2A79">
            <w:pPr>
              <w:rPr>
                <w:szCs w:val="22"/>
              </w:rPr>
            </w:pPr>
          </w:p>
        </w:tc>
        <w:tc>
          <w:tcPr>
            <w:tcW w:w="739" w:type="dxa"/>
            <w:vMerge/>
            <w:shd w:val="clear" w:color="auto" w:fill="auto"/>
            <w:vAlign w:val="center"/>
          </w:tcPr>
          <w:p w14:paraId="340C0CCE" w14:textId="77777777" w:rsidR="00CE078C" w:rsidRPr="004870C7" w:rsidRDefault="00CE078C" w:rsidP="00CE078C">
            <w:pPr>
              <w:jc w:val="center"/>
              <w:rPr>
                <w:szCs w:val="22"/>
              </w:rPr>
            </w:pPr>
          </w:p>
        </w:tc>
        <w:tc>
          <w:tcPr>
            <w:tcW w:w="634" w:type="dxa"/>
          </w:tcPr>
          <w:p w14:paraId="4D53FFEB" w14:textId="173DBACE" w:rsidR="00CE078C" w:rsidRPr="004870C7" w:rsidRDefault="00CE078C" w:rsidP="003B2A79">
            <w:pPr>
              <w:rPr>
                <w:szCs w:val="22"/>
              </w:rPr>
            </w:pPr>
            <w:r w:rsidRPr="004870C7">
              <w:rPr>
                <w:szCs w:val="22"/>
              </w:rPr>
              <w:t>1.1.3</w:t>
            </w:r>
          </w:p>
        </w:tc>
        <w:tc>
          <w:tcPr>
            <w:tcW w:w="362" w:type="dxa"/>
            <w:shd w:val="clear" w:color="auto" w:fill="auto"/>
          </w:tcPr>
          <w:p w14:paraId="2A8DC658" w14:textId="77777777" w:rsidR="00CE078C" w:rsidRPr="004870C7" w:rsidRDefault="00CE078C" w:rsidP="003B2A79">
            <w:pPr>
              <w:rPr>
                <w:szCs w:val="22"/>
              </w:rPr>
            </w:pPr>
          </w:p>
        </w:tc>
        <w:tc>
          <w:tcPr>
            <w:tcW w:w="362" w:type="dxa"/>
            <w:shd w:val="clear" w:color="auto" w:fill="auto"/>
          </w:tcPr>
          <w:p w14:paraId="1BFEEDFF" w14:textId="77777777" w:rsidR="00CE078C" w:rsidRPr="004870C7" w:rsidRDefault="00CE078C" w:rsidP="003B2A79">
            <w:pPr>
              <w:rPr>
                <w:szCs w:val="22"/>
              </w:rPr>
            </w:pPr>
          </w:p>
        </w:tc>
        <w:tc>
          <w:tcPr>
            <w:tcW w:w="362" w:type="dxa"/>
            <w:shd w:val="clear" w:color="auto" w:fill="auto"/>
          </w:tcPr>
          <w:p w14:paraId="1DFD02D1" w14:textId="77777777" w:rsidR="00CE078C" w:rsidRPr="004870C7" w:rsidRDefault="00CE078C" w:rsidP="003B2A79">
            <w:pPr>
              <w:rPr>
                <w:szCs w:val="22"/>
              </w:rPr>
            </w:pPr>
          </w:p>
        </w:tc>
        <w:tc>
          <w:tcPr>
            <w:tcW w:w="362" w:type="dxa"/>
            <w:shd w:val="clear" w:color="auto" w:fill="auto"/>
          </w:tcPr>
          <w:p w14:paraId="0E61C1BA" w14:textId="77777777" w:rsidR="00CE078C" w:rsidRPr="004870C7" w:rsidRDefault="00CE078C" w:rsidP="003B2A79">
            <w:pPr>
              <w:rPr>
                <w:szCs w:val="22"/>
              </w:rPr>
            </w:pPr>
          </w:p>
        </w:tc>
        <w:tc>
          <w:tcPr>
            <w:tcW w:w="362" w:type="dxa"/>
            <w:shd w:val="clear" w:color="auto" w:fill="auto"/>
          </w:tcPr>
          <w:p w14:paraId="5751C014" w14:textId="77777777" w:rsidR="00CE078C" w:rsidRPr="004870C7" w:rsidRDefault="00CE078C" w:rsidP="003B2A79">
            <w:pPr>
              <w:rPr>
                <w:szCs w:val="22"/>
              </w:rPr>
            </w:pPr>
          </w:p>
        </w:tc>
        <w:tc>
          <w:tcPr>
            <w:tcW w:w="362" w:type="dxa"/>
            <w:shd w:val="clear" w:color="auto" w:fill="auto"/>
          </w:tcPr>
          <w:p w14:paraId="7642B25A" w14:textId="77777777" w:rsidR="00CE078C" w:rsidRPr="004870C7" w:rsidRDefault="00CE078C" w:rsidP="003B2A79">
            <w:pPr>
              <w:rPr>
                <w:szCs w:val="22"/>
              </w:rPr>
            </w:pPr>
          </w:p>
        </w:tc>
        <w:tc>
          <w:tcPr>
            <w:tcW w:w="362" w:type="dxa"/>
            <w:shd w:val="clear" w:color="auto" w:fill="auto"/>
          </w:tcPr>
          <w:p w14:paraId="77C126E5" w14:textId="77777777" w:rsidR="00CE078C" w:rsidRPr="004870C7" w:rsidRDefault="00CE078C" w:rsidP="003B2A79">
            <w:pPr>
              <w:rPr>
                <w:szCs w:val="22"/>
              </w:rPr>
            </w:pPr>
          </w:p>
        </w:tc>
        <w:tc>
          <w:tcPr>
            <w:tcW w:w="362" w:type="dxa"/>
            <w:shd w:val="clear" w:color="auto" w:fill="auto"/>
          </w:tcPr>
          <w:p w14:paraId="47FE174D" w14:textId="77777777" w:rsidR="00CE078C" w:rsidRPr="004870C7" w:rsidRDefault="00CE078C" w:rsidP="003B2A79">
            <w:pPr>
              <w:rPr>
                <w:szCs w:val="22"/>
              </w:rPr>
            </w:pPr>
          </w:p>
        </w:tc>
        <w:tc>
          <w:tcPr>
            <w:tcW w:w="362" w:type="dxa"/>
            <w:shd w:val="clear" w:color="auto" w:fill="auto"/>
          </w:tcPr>
          <w:p w14:paraId="79D0C567" w14:textId="77777777" w:rsidR="00CE078C" w:rsidRPr="004870C7" w:rsidRDefault="00CE078C" w:rsidP="003B2A79">
            <w:pPr>
              <w:rPr>
                <w:szCs w:val="22"/>
              </w:rPr>
            </w:pPr>
          </w:p>
        </w:tc>
        <w:tc>
          <w:tcPr>
            <w:tcW w:w="362" w:type="dxa"/>
            <w:shd w:val="clear" w:color="auto" w:fill="auto"/>
          </w:tcPr>
          <w:p w14:paraId="5931F7DA" w14:textId="77777777" w:rsidR="00CE078C" w:rsidRPr="004870C7" w:rsidRDefault="00CE078C" w:rsidP="003B2A79">
            <w:pPr>
              <w:rPr>
                <w:szCs w:val="22"/>
              </w:rPr>
            </w:pPr>
          </w:p>
        </w:tc>
        <w:tc>
          <w:tcPr>
            <w:tcW w:w="362" w:type="dxa"/>
            <w:shd w:val="clear" w:color="auto" w:fill="auto"/>
          </w:tcPr>
          <w:p w14:paraId="6CFE54B6" w14:textId="77777777" w:rsidR="00CE078C" w:rsidRPr="004870C7" w:rsidRDefault="00CE078C" w:rsidP="003B2A79">
            <w:pPr>
              <w:rPr>
                <w:szCs w:val="22"/>
              </w:rPr>
            </w:pPr>
          </w:p>
        </w:tc>
        <w:tc>
          <w:tcPr>
            <w:tcW w:w="362" w:type="dxa"/>
            <w:shd w:val="clear" w:color="auto" w:fill="B4C6E7" w:themeFill="accent1" w:themeFillTint="66"/>
          </w:tcPr>
          <w:p w14:paraId="7404C73F" w14:textId="77777777" w:rsidR="00CE078C" w:rsidRPr="004870C7" w:rsidRDefault="00CE078C" w:rsidP="003B2A79">
            <w:pPr>
              <w:rPr>
                <w:szCs w:val="22"/>
              </w:rPr>
            </w:pPr>
          </w:p>
        </w:tc>
        <w:tc>
          <w:tcPr>
            <w:tcW w:w="362" w:type="dxa"/>
            <w:shd w:val="clear" w:color="auto" w:fill="B4C6E7" w:themeFill="accent1" w:themeFillTint="66"/>
          </w:tcPr>
          <w:p w14:paraId="765CA2E9" w14:textId="77777777" w:rsidR="00CE078C" w:rsidRPr="004870C7" w:rsidRDefault="00CE078C" w:rsidP="003B2A79">
            <w:pPr>
              <w:rPr>
                <w:szCs w:val="22"/>
              </w:rPr>
            </w:pPr>
          </w:p>
        </w:tc>
        <w:tc>
          <w:tcPr>
            <w:tcW w:w="362" w:type="dxa"/>
            <w:shd w:val="clear" w:color="auto" w:fill="B4C6E7" w:themeFill="accent1" w:themeFillTint="66"/>
          </w:tcPr>
          <w:p w14:paraId="5AE2BB8E" w14:textId="77777777" w:rsidR="00CE078C" w:rsidRPr="004870C7" w:rsidRDefault="00CE078C" w:rsidP="003B2A79">
            <w:pPr>
              <w:rPr>
                <w:szCs w:val="22"/>
              </w:rPr>
            </w:pPr>
          </w:p>
        </w:tc>
        <w:tc>
          <w:tcPr>
            <w:tcW w:w="362" w:type="dxa"/>
            <w:shd w:val="clear" w:color="auto" w:fill="auto"/>
          </w:tcPr>
          <w:p w14:paraId="47421A9D" w14:textId="77777777" w:rsidR="00CE078C" w:rsidRPr="004870C7" w:rsidRDefault="00CE078C" w:rsidP="003B2A79">
            <w:pPr>
              <w:rPr>
                <w:szCs w:val="22"/>
              </w:rPr>
            </w:pPr>
          </w:p>
        </w:tc>
        <w:tc>
          <w:tcPr>
            <w:tcW w:w="362" w:type="dxa"/>
            <w:shd w:val="clear" w:color="auto" w:fill="auto"/>
          </w:tcPr>
          <w:p w14:paraId="4E03E5AE" w14:textId="77777777" w:rsidR="00CE078C" w:rsidRPr="004870C7" w:rsidRDefault="00CE078C" w:rsidP="003B2A79">
            <w:pPr>
              <w:rPr>
                <w:szCs w:val="22"/>
              </w:rPr>
            </w:pPr>
          </w:p>
        </w:tc>
        <w:tc>
          <w:tcPr>
            <w:tcW w:w="362" w:type="dxa"/>
            <w:shd w:val="clear" w:color="auto" w:fill="auto"/>
          </w:tcPr>
          <w:p w14:paraId="068F2C97" w14:textId="77777777" w:rsidR="00CE078C" w:rsidRPr="004870C7" w:rsidRDefault="00CE078C" w:rsidP="003B2A79">
            <w:pPr>
              <w:rPr>
                <w:szCs w:val="22"/>
              </w:rPr>
            </w:pPr>
          </w:p>
        </w:tc>
        <w:tc>
          <w:tcPr>
            <w:tcW w:w="362" w:type="dxa"/>
            <w:shd w:val="clear" w:color="auto" w:fill="auto"/>
          </w:tcPr>
          <w:p w14:paraId="3DAE514E" w14:textId="77777777" w:rsidR="00CE078C" w:rsidRPr="004870C7" w:rsidRDefault="00CE078C" w:rsidP="003B2A79">
            <w:pPr>
              <w:rPr>
                <w:szCs w:val="22"/>
              </w:rPr>
            </w:pPr>
          </w:p>
        </w:tc>
        <w:tc>
          <w:tcPr>
            <w:tcW w:w="362" w:type="dxa"/>
            <w:shd w:val="clear" w:color="auto" w:fill="auto"/>
          </w:tcPr>
          <w:p w14:paraId="6371FCDE" w14:textId="77777777" w:rsidR="00CE078C" w:rsidRPr="004870C7" w:rsidRDefault="00CE078C" w:rsidP="003B2A79">
            <w:pPr>
              <w:rPr>
                <w:szCs w:val="22"/>
              </w:rPr>
            </w:pPr>
          </w:p>
        </w:tc>
        <w:tc>
          <w:tcPr>
            <w:tcW w:w="362" w:type="dxa"/>
            <w:shd w:val="clear" w:color="auto" w:fill="auto"/>
          </w:tcPr>
          <w:p w14:paraId="26FEC131" w14:textId="77777777" w:rsidR="00CE078C" w:rsidRPr="004870C7" w:rsidRDefault="00CE078C" w:rsidP="003B2A79">
            <w:pPr>
              <w:rPr>
                <w:szCs w:val="22"/>
              </w:rPr>
            </w:pPr>
          </w:p>
        </w:tc>
      </w:tr>
      <w:tr w:rsidR="00CE078C" w:rsidRPr="004870C7" w14:paraId="50BDEB40" w14:textId="77777777" w:rsidTr="00CE078C">
        <w:tc>
          <w:tcPr>
            <w:tcW w:w="809" w:type="dxa"/>
            <w:vMerge/>
          </w:tcPr>
          <w:p w14:paraId="1FA58B3A" w14:textId="77777777" w:rsidR="00CE078C" w:rsidRPr="004870C7" w:rsidRDefault="00CE078C" w:rsidP="003B2A79">
            <w:pPr>
              <w:rPr>
                <w:szCs w:val="22"/>
              </w:rPr>
            </w:pPr>
          </w:p>
        </w:tc>
        <w:tc>
          <w:tcPr>
            <w:tcW w:w="739" w:type="dxa"/>
            <w:vMerge/>
            <w:shd w:val="clear" w:color="auto" w:fill="auto"/>
            <w:vAlign w:val="center"/>
          </w:tcPr>
          <w:p w14:paraId="2CDAFC93" w14:textId="77777777" w:rsidR="00CE078C" w:rsidRPr="004870C7" w:rsidRDefault="00CE078C" w:rsidP="00CE078C">
            <w:pPr>
              <w:jc w:val="center"/>
              <w:rPr>
                <w:szCs w:val="22"/>
              </w:rPr>
            </w:pPr>
          </w:p>
        </w:tc>
        <w:tc>
          <w:tcPr>
            <w:tcW w:w="634" w:type="dxa"/>
          </w:tcPr>
          <w:p w14:paraId="68185856" w14:textId="39D8039B" w:rsidR="00CE078C" w:rsidRPr="004870C7" w:rsidRDefault="00CE078C" w:rsidP="003B2A79">
            <w:pPr>
              <w:rPr>
                <w:szCs w:val="22"/>
              </w:rPr>
            </w:pPr>
            <w:r w:rsidRPr="004870C7">
              <w:rPr>
                <w:szCs w:val="22"/>
              </w:rPr>
              <w:t>1.1.4</w:t>
            </w:r>
          </w:p>
        </w:tc>
        <w:tc>
          <w:tcPr>
            <w:tcW w:w="362" w:type="dxa"/>
            <w:shd w:val="clear" w:color="auto" w:fill="auto"/>
          </w:tcPr>
          <w:p w14:paraId="0901B948" w14:textId="77777777" w:rsidR="00CE078C" w:rsidRPr="004870C7" w:rsidRDefault="00CE078C" w:rsidP="003B2A79">
            <w:pPr>
              <w:rPr>
                <w:szCs w:val="22"/>
              </w:rPr>
            </w:pPr>
          </w:p>
        </w:tc>
        <w:tc>
          <w:tcPr>
            <w:tcW w:w="362" w:type="dxa"/>
            <w:shd w:val="clear" w:color="auto" w:fill="auto"/>
          </w:tcPr>
          <w:p w14:paraId="222DB110" w14:textId="77777777" w:rsidR="00CE078C" w:rsidRPr="004870C7" w:rsidRDefault="00CE078C" w:rsidP="003B2A79">
            <w:pPr>
              <w:rPr>
                <w:szCs w:val="22"/>
              </w:rPr>
            </w:pPr>
          </w:p>
        </w:tc>
        <w:tc>
          <w:tcPr>
            <w:tcW w:w="362" w:type="dxa"/>
            <w:shd w:val="clear" w:color="auto" w:fill="auto"/>
          </w:tcPr>
          <w:p w14:paraId="4DEE653D" w14:textId="77777777" w:rsidR="00CE078C" w:rsidRPr="004870C7" w:rsidRDefault="00CE078C" w:rsidP="003B2A79">
            <w:pPr>
              <w:rPr>
                <w:szCs w:val="22"/>
              </w:rPr>
            </w:pPr>
          </w:p>
        </w:tc>
        <w:tc>
          <w:tcPr>
            <w:tcW w:w="362" w:type="dxa"/>
            <w:shd w:val="clear" w:color="auto" w:fill="auto"/>
          </w:tcPr>
          <w:p w14:paraId="4DAEB85D" w14:textId="77777777" w:rsidR="00CE078C" w:rsidRPr="004870C7" w:rsidRDefault="00CE078C" w:rsidP="003B2A79">
            <w:pPr>
              <w:rPr>
                <w:szCs w:val="22"/>
              </w:rPr>
            </w:pPr>
          </w:p>
        </w:tc>
        <w:tc>
          <w:tcPr>
            <w:tcW w:w="362" w:type="dxa"/>
            <w:shd w:val="clear" w:color="auto" w:fill="auto"/>
          </w:tcPr>
          <w:p w14:paraId="42E3B482" w14:textId="77777777" w:rsidR="00CE078C" w:rsidRPr="004870C7" w:rsidRDefault="00CE078C" w:rsidP="003B2A79">
            <w:pPr>
              <w:rPr>
                <w:szCs w:val="22"/>
              </w:rPr>
            </w:pPr>
          </w:p>
        </w:tc>
        <w:tc>
          <w:tcPr>
            <w:tcW w:w="362" w:type="dxa"/>
            <w:shd w:val="clear" w:color="auto" w:fill="auto"/>
          </w:tcPr>
          <w:p w14:paraId="3490A835" w14:textId="77777777" w:rsidR="00CE078C" w:rsidRPr="004870C7" w:rsidRDefault="00CE078C" w:rsidP="003B2A79">
            <w:pPr>
              <w:rPr>
                <w:szCs w:val="22"/>
              </w:rPr>
            </w:pPr>
          </w:p>
        </w:tc>
        <w:tc>
          <w:tcPr>
            <w:tcW w:w="362" w:type="dxa"/>
            <w:shd w:val="clear" w:color="auto" w:fill="auto"/>
          </w:tcPr>
          <w:p w14:paraId="2C91CFF3" w14:textId="77777777" w:rsidR="00CE078C" w:rsidRPr="004870C7" w:rsidRDefault="00CE078C" w:rsidP="003B2A79">
            <w:pPr>
              <w:rPr>
                <w:szCs w:val="22"/>
              </w:rPr>
            </w:pPr>
          </w:p>
        </w:tc>
        <w:tc>
          <w:tcPr>
            <w:tcW w:w="362" w:type="dxa"/>
            <w:shd w:val="clear" w:color="auto" w:fill="auto"/>
          </w:tcPr>
          <w:p w14:paraId="70E356D2" w14:textId="77777777" w:rsidR="00CE078C" w:rsidRPr="004870C7" w:rsidRDefault="00CE078C" w:rsidP="003B2A79">
            <w:pPr>
              <w:rPr>
                <w:szCs w:val="22"/>
              </w:rPr>
            </w:pPr>
          </w:p>
        </w:tc>
        <w:tc>
          <w:tcPr>
            <w:tcW w:w="362" w:type="dxa"/>
            <w:shd w:val="clear" w:color="auto" w:fill="auto"/>
          </w:tcPr>
          <w:p w14:paraId="5C86A34F" w14:textId="77777777" w:rsidR="00CE078C" w:rsidRPr="004870C7" w:rsidRDefault="00CE078C" w:rsidP="003B2A79">
            <w:pPr>
              <w:rPr>
                <w:szCs w:val="22"/>
              </w:rPr>
            </w:pPr>
          </w:p>
        </w:tc>
        <w:tc>
          <w:tcPr>
            <w:tcW w:w="362" w:type="dxa"/>
            <w:shd w:val="clear" w:color="auto" w:fill="auto"/>
          </w:tcPr>
          <w:p w14:paraId="3433F2A1" w14:textId="77777777" w:rsidR="00CE078C" w:rsidRPr="004870C7" w:rsidRDefault="00CE078C" w:rsidP="003B2A79">
            <w:pPr>
              <w:rPr>
                <w:szCs w:val="22"/>
              </w:rPr>
            </w:pPr>
          </w:p>
        </w:tc>
        <w:tc>
          <w:tcPr>
            <w:tcW w:w="362" w:type="dxa"/>
            <w:shd w:val="clear" w:color="auto" w:fill="auto"/>
          </w:tcPr>
          <w:p w14:paraId="47EFD7AA" w14:textId="77777777" w:rsidR="00CE078C" w:rsidRPr="004870C7" w:rsidRDefault="00CE078C" w:rsidP="003B2A79">
            <w:pPr>
              <w:rPr>
                <w:szCs w:val="22"/>
              </w:rPr>
            </w:pPr>
          </w:p>
        </w:tc>
        <w:tc>
          <w:tcPr>
            <w:tcW w:w="362" w:type="dxa"/>
            <w:shd w:val="clear" w:color="auto" w:fill="B4C6E7" w:themeFill="accent1" w:themeFillTint="66"/>
          </w:tcPr>
          <w:p w14:paraId="5731720B" w14:textId="77777777" w:rsidR="00CE078C" w:rsidRPr="004870C7" w:rsidRDefault="00CE078C" w:rsidP="003B2A79">
            <w:pPr>
              <w:rPr>
                <w:szCs w:val="22"/>
              </w:rPr>
            </w:pPr>
          </w:p>
        </w:tc>
        <w:tc>
          <w:tcPr>
            <w:tcW w:w="362" w:type="dxa"/>
            <w:shd w:val="clear" w:color="auto" w:fill="B4C6E7" w:themeFill="accent1" w:themeFillTint="66"/>
          </w:tcPr>
          <w:p w14:paraId="1EF0EF4F" w14:textId="77777777" w:rsidR="00CE078C" w:rsidRPr="004870C7" w:rsidRDefault="00CE078C" w:rsidP="003B2A79">
            <w:pPr>
              <w:rPr>
                <w:szCs w:val="22"/>
              </w:rPr>
            </w:pPr>
          </w:p>
        </w:tc>
        <w:tc>
          <w:tcPr>
            <w:tcW w:w="362" w:type="dxa"/>
            <w:shd w:val="clear" w:color="auto" w:fill="B4C6E7" w:themeFill="accent1" w:themeFillTint="66"/>
          </w:tcPr>
          <w:p w14:paraId="1C195EFA" w14:textId="77777777" w:rsidR="00CE078C" w:rsidRPr="004870C7" w:rsidRDefault="00CE078C" w:rsidP="003B2A79">
            <w:pPr>
              <w:rPr>
                <w:szCs w:val="22"/>
              </w:rPr>
            </w:pPr>
          </w:p>
        </w:tc>
        <w:tc>
          <w:tcPr>
            <w:tcW w:w="362" w:type="dxa"/>
            <w:shd w:val="clear" w:color="auto" w:fill="auto"/>
          </w:tcPr>
          <w:p w14:paraId="145D55EB" w14:textId="77777777" w:rsidR="00CE078C" w:rsidRPr="004870C7" w:rsidRDefault="00CE078C" w:rsidP="003B2A79">
            <w:pPr>
              <w:rPr>
                <w:szCs w:val="22"/>
              </w:rPr>
            </w:pPr>
          </w:p>
        </w:tc>
        <w:tc>
          <w:tcPr>
            <w:tcW w:w="362" w:type="dxa"/>
            <w:shd w:val="clear" w:color="auto" w:fill="auto"/>
          </w:tcPr>
          <w:p w14:paraId="5BB5DB95" w14:textId="77777777" w:rsidR="00CE078C" w:rsidRPr="004870C7" w:rsidRDefault="00CE078C" w:rsidP="003B2A79">
            <w:pPr>
              <w:rPr>
                <w:szCs w:val="22"/>
              </w:rPr>
            </w:pPr>
          </w:p>
        </w:tc>
        <w:tc>
          <w:tcPr>
            <w:tcW w:w="362" w:type="dxa"/>
            <w:shd w:val="clear" w:color="auto" w:fill="auto"/>
          </w:tcPr>
          <w:p w14:paraId="6AB5BA58" w14:textId="77777777" w:rsidR="00CE078C" w:rsidRPr="004870C7" w:rsidRDefault="00CE078C" w:rsidP="003B2A79">
            <w:pPr>
              <w:rPr>
                <w:szCs w:val="22"/>
              </w:rPr>
            </w:pPr>
          </w:p>
        </w:tc>
        <w:tc>
          <w:tcPr>
            <w:tcW w:w="362" w:type="dxa"/>
            <w:shd w:val="clear" w:color="auto" w:fill="auto"/>
          </w:tcPr>
          <w:p w14:paraId="58BAAC4A" w14:textId="77777777" w:rsidR="00CE078C" w:rsidRPr="004870C7" w:rsidRDefault="00CE078C" w:rsidP="003B2A79">
            <w:pPr>
              <w:rPr>
                <w:szCs w:val="22"/>
              </w:rPr>
            </w:pPr>
          </w:p>
        </w:tc>
        <w:tc>
          <w:tcPr>
            <w:tcW w:w="362" w:type="dxa"/>
            <w:shd w:val="clear" w:color="auto" w:fill="auto"/>
          </w:tcPr>
          <w:p w14:paraId="0C70896C" w14:textId="77777777" w:rsidR="00CE078C" w:rsidRPr="004870C7" w:rsidRDefault="00CE078C" w:rsidP="003B2A79">
            <w:pPr>
              <w:rPr>
                <w:szCs w:val="22"/>
              </w:rPr>
            </w:pPr>
          </w:p>
        </w:tc>
        <w:tc>
          <w:tcPr>
            <w:tcW w:w="362" w:type="dxa"/>
            <w:shd w:val="clear" w:color="auto" w:fill="auto"/>
          </w:tcPr>
          <w:p w14:paraId="5454B559" w14:textId="77777777" w:rsidR="00CE078C" w:rsidRPr="004870C7" w:rsidRDefault="00CE078C" w:rsidP="003B2A79">
            <w:pPr>
              <w:rPr>
                <w:szCs w:val="22"/>
              </w:rPr>
            </w:pPr>
          </w:p>
        </w:tc>
      </w:tr>
      <w:tr w:rsidR="00CE078C" w:rsidRPr="004870C7" w14:paraId="3BFEF6B0" w14:textId="77777777" w:rsidTr="00CE078C">
        <w:tc>
          <w:tcPr>
            <w:tcW w:w="809" w:type="dxa"/>
            <w:vMerge/>
          </w:tcPr>
          <w:p w14:paraId="49499BE0" w14:textId="77777777" w:rsidR="00CE078C" w:rsidRPr="004870C7" w:rsidRDefault="00CE078C" w:rsidP="003B2A79">
            <w:pPr>
              <w:rPr>
                <w:szCs w:val="22"/>
              </w:rPr>
            </w:pPr>
          </w:p>
        </w:tc>
        <w:tc>
          <w:tcPr>
            <w:tcW w:w="739" w:type="dxa"/>
            <w:vMerge/>
            <w:shd w:val="clear" w:color="auto" w:fill="auto"/>
            <w:vAlign w:val="center"/>
          </w:tcPr>
          <w:p w14:paraId="27EDAF6D" w14:textId="77777777" w:rsidR="00CE078C" w:rsidRPr="004870C7" w:rsidRDefault="00CE078C" w:rsidP="00CE078C">
            <w:pPr>
              <w:jc w:val="center"/>
              <w:rPr>
                <w:szCs w:val="22"/>
              </w:rPr>
            </w:pPr>
          </w:p>
        </w:tc>
        <w:tc>
          <w:tcPr>
            <w:tcW w:w="634" w:type="dxa"/>
          </w:tcPr>
          <w:p w14:paraId="646FB446" w14:textId="7470CF75" w:rsidR="00CE078C" w:rsidRPr="004870C7" w:rsidRDefault="00CE078C" w:rsidP="003B2A79">
            <w:pPr>
              <w:rPr>
                <w:szCs w:val="22"/>
              </w:rPr>
            </w:pPr>
            <w:r w:rsidRPr="004870C7">
              <w:rPr>
                <w:szCs w:val="22"/>
              </w:rPr>
              <w:t>1.1.5</w:t>
            </w:r>
          </w:p>
        </w:tc>
        <w:tc>
          <w:tcPr>
            <w:tcW w:w="362" w:type="dxa"/>
            <w:shd w:val="clear" w:color="auto" w:fill="auto"/>
          </w:tcPr>
          <w:p w14:paraId="2C63CCCE" w14:textId="77777777" w:rsidR="00CE078C" w:rsidRPr="004870C7" w:rsidRDefault="00CE078C" w:rsidP="003B2A79">
            <w:pPr>
              <w:rPr>
                <w:szCs w:val="22"/>
              </w:rPr>
            </w:pPr>
          </w:p>
        </w:tc>
        <w:tc>
          <w:tcPr>
            <w:tcW w:w="362" w:type="dxa"/>
            <w:shd w:val="clear" w:color="auto" w:fill="auto"/>
          </w:tcPr>
          <w:p w14:paraId="0BB4B97B" w14:textId="77777777" w:rsidR="00CE078C" w:rsidRPr="004870C7" w:rsidRDefault="00CE078C" w:rsidP="003B2A79">
            <w:pPr>
              <w:rPr>
                <w:szCs w:val="22"/>
              </w:rPr>
            </w:pPr>
          </w:p>
        </w:tc>
        <w:tc>
          <w:tcPr>
            <w:tcW w:w="362" w:type="dxa"/>
            <w:shd w:val="clear" w:color="auto" w:fill="auto"/>
          </w:tcPr>
          <w:p w14:paraId="2F3C5177" w14:textId="77777777" w:rsidR="00CE078C" w:rsidRPr="004870C7" w:rsidRDefault="00CE078C" w:rsidP="003B2A79">
            <w:pPr>
              <w:rPr>
                <w:szCs w:val="22"/>
              </w:rPr>
            </w:pPr>
          </w:p>
        </w:tc>
        <w:tc>
          <w:tcPr>
            <w:tcW w:w="362" w:type="dxa"/>
            <w:shd w:val="clear" w:color="auto" w:fill="auto"/>
          </w:tcPr>
          <w:p w14:paraId="380E1B65" w14:textId="77777777" w:rsidR="00CE078C" w:rsidRPr="004870C7" w:rsidRDefault="00CE078C" w:rsidP="003B2A79">
            <w:pPr>
              <w:rPr>
                <w:szCs w:val="22"/>
              </w:rPr>
            </w:pPr>
          </w:p>
        </w:tc>
        <w:tc>
          <w:tcPr>
            <w:tcW w:w="362" w:type="dxa"/>
            <w:shd w:val="clear" w:color="auto" w:fill="auto"/>
          </w:tcPr>
          <w:p w14:paraId="103DD161" w14:textId="77777777" w:rsidR="00CE078C" w:rsidRPr="004870C7" w:rsidRDefault="00CE078C" w:rsidP="003B2A79">
            <w:pPr>
              <w:rPr>
                <w:szCs w:val="22"/>
              </w:rPr>
            </w:pPr>
          </w:p>
        </w:tc>
        <w:tc>
          <w:tcPr>
            <w:tcW w:w="362" w:type="dxa"/>
            <w:shd w:val="clear" w:color="auto" w:fill="auto"/>
          </w:tcPr>
          <w:p w14:paraId="2E9627FE" w14:textId="77777777" w:rsidR="00CE078C" w:rsidRPr="004870C7" w:rsidRDefault="00CE078C" w:rsidP="003B2A79">
            <w:pPr>
              <w:rPr>
                <w:szCs w:val="22"/>
              </w:rPr>
            </w:pPr>
          </w:p>
        </w:tc>
        <w:tc>
          <w:tcPr>
            <w:tcW w:w="362" w:type="dxa"/>
            <w:shd w:val="clear" w:color="auto" w:fill="auto"/>
          </w:tcPr>
          <w:p w14:paraId="51890620" w14:textId="77777777" w:rsidR="00CE078C" w:rsidRPr="004870C7" w:rsidRDefault="00CE078C" w:rsidP="003B2A79">
            <w:pPr>
              <w:rPr>
                <w:szCs w:val="22"/>
              </w:rPr>
            </w:pPr>
          </w:p>
        </w:tc>
        <w:tc>
          <w:tcPr>
            <w:tcW w:w="362" w:type="dxa"/>
            <w:shd w:val="clear" w:color="auto" w:fill="auto"/>
          </w:tcPr>
          <w:p w14:paraId="10BCE513" w14:textId="77777777" w:rsidR="00CE078C" w:rsidRPr="004870C7" w:rsidRDefault="00CE078C" w:rsidP="003B2A79">
            <w:pPr>
              <w:rPr>
                <w:szCs w:val="22"/>
              </w:rPr>
            </w:pPr>
          </w:p>
        </w:tc>
        <w:tc>
          <w:tcPr>
            <w:tcW w:w="362" w:type="dxa"/>
            <w:shd w:val="clear" w:color="auto" w:fill="auto"/>
          </w:tcPr>
          <w:p w14:paraId="39ACCF83" w14:textId="77777777" w:rsidR="00CE078C" w:rsidRPr="004870C7" w:rsidRDefault="00CE078C" w:rsidP="003B2A79">
            <w:pPr>
              <w:rPr>
                <w:szCs w:val="22"/>
              </w:rPr>
            </w:pPr>
          </w:p>
        </w:tc>
        <w:tc>
          <w:tcPr>
            <w:tcW w:w="362" w:type="dxa"/>
            <w:shd w:val="clear" w:color="auto" w:fill="auto"/>
          </w:tcPr>
          <w:p w14:paraId="35A1A49D" w14:textId="77777777" w:rsidR="00CE078C" w:rsidRPr="004870C7" w:rsidRDefault="00CE078C" w:rsidP="003B2A79">
            <w:pPr>
              <w:rPr>
                <w:szCs w:val="22"/>
              </w:rPr>
            </w:pPr>
          </w:p>
        </w:tc>
        <w:tc>
          <w:tcPr>
            <w:tcW w:w="362" w:type="dxa"/>
            <w:shd w:val="clear" w:color="auto" w:fill="auto"/>
          </w:tcPr>
          <w:p w14:paraId="1534F494" w14:textId="77777777" w:rsidR="00CE078C" w:rsidRPr="004870C7" w:rsidRDefault="00CE078C" w:rsidP="003B2A79">
            <w:pPr>
              <w:rPr>
                <w:szCs w:val="22"/>
              </w:rPr>
            </w:pPr>
          </w:p>
        </w:tc>
        <w:tc>
          <w:tcPr>
            <w:tcW w:w="362" w:type="dxa"/>
            <w:shd w:val="clear" w:color="auto" w:fill="B4C6E7" w:themeFill="accent1" w:themeFillTint="66"/>
          </w:tcPr>
          <w:p w14:paraId="2B978791" w14:textId="77777777" w:rsidR="00CE078C" w:rsidRPr="004870C7" w:rsidRDefault="00CE078C" w:rsidP="003B2A79">
            <w:pPr>
              <w:rPr>
                <w:szCs w:val="22"/>
              </w:rPr>
            </w:pPr>
          </w:p>
        </w:tc>
        <w:tc>
          <w:tcPr>
            <w:tcW w:w="362" w:type="dxa"/>
            <w:shd w:val="clear" w:color="auto" w:fill="B4C6E7" w:themeFill="accent1" w:themeFillTint="66"/>
          </w:tcPr>
          <w:p w14:paraId="6F38892F" w14:textId="77777777" w:rsidR="00CE078C" w:rsidRPr="004870C7" w:rsidRDefault="00CE078C" w:rsidP="003B2A79">
            <w:pPr>
              <w:rPr>
                <w:szCs w:val="22"/>
              </w:rPr>
            </w:pPr>
          </w:p>
        </w:tc>
        <w:tc>
          <w:tcPr>
            <w:tcW w:w="362" w:type="dxa"/>
            <w:shd w:val="clear" w:color="auto" w:fill="B4C6E7" w:themeFill="accent1" w:themeFillTint="66"/>
          </w:tcPr>
          <w:p w14:paraId="66F3C329" w14:textId="77777777" w:rsidR="00CE078C" w:rsidRPr="004870C7" w:rsidRDefault="00CE078C" w:rsidP="003B2A79">
            <w:pPr>
              <w:rPr>
                <w:szCs w:val="22"/>
              </w:rPr>
            </w:pPr>
          </w:p>
        </w:tc>
        <w:tc>
          <w:tcPr>
            <w:tcW w:w="362" w:type="dxa"/>
            <w:shd w:val="clear" w:color="auto" w:fill="auto"/>
          </w:tcPr>
          <w:p w14:paraId="3092FC19" w14:textId="77777777" w:rsidR="00CE078C" w:rsidRPr="004870C7" w:rsidRDefault="00CE078C" w:rsidP="003B2A79">
            <w:pPr>
              <w:rPr>
                <w:szCs w:val="22"/>
              </w:rPr>
            </w:pPr>
          </w:p>
        </w:tc>
        <w:tc>
          <w:tcPr>
            <w:tcW w:w="362" w:type="dxa"/>
            <w:shd w:val="clear" w:color="auto" w:fill="auto"/>
          </w:tcPr>
          <w:p w14:paraId="11DE1CC2" w14:textId="77777777" w:rsidR="00CE078C" w:rsidRPr="004870C7" w:rsidRDefault="00CE078C" w:rsidP="003B2A79">
            <w:pPr>
              <w:rPr>
                <w:szCs w:val="22"/>
              </w:rPr>
            </w:pPr>
          </w:p>
        </w:tc>
        <w:tc>
          <w:tcPr>
            <w:tcW w:w="362" w:type="dxa"/>
            <w:shd w:val="clear" w:color="auto" w:fill="auto"/>
          </w:tcPr>
          <w:p w14:paraId="1101F182" w14:textId="77777777" w:rsidR="00CE078C" w:rsidRPr="004870C7" w:rsidRDefault="00CE078C" w:rsidP="003B2A79">
            <w:pPr>
              <w:rPr>
                <w:szCs w:val="22"/>
              </w:rPr>
            </w:pPr>
          </w:p>
        </w:tc>
        <w:tc>
          <w:tcPr>
            <w:tcW w:w="362" w:type="dxa"/>
            <w:shd w:val="clear" w:color="auto" w:fill="auto"/>
          </w:tcPr>
          <w:p w14:paraId="129AB017" w14:textId="77777777" w:rsidR="00CE078C" w:rsidRPr="004870C7" w:rsidRDefault="00CE078C" w:rsidP="003B2A79">
            <w:pPr>
              <w:rPr>
                <w:szCs w:val="22"/>
              </w:rPr>
            </w:pPr>
          </w:p>
        </w:tc>
        <w:tc>
          <w:tcPr>
            <w:tcW w:w="362" w:type="dxa"/>
            <w:shd w:val="clear" w:color="auto" w:fill="auto"/>
          </w:tcPr>
          <w:p w14:paraId="53622E1B" w14:textId="77777777" w:rsidR="00CE078C" w:rsidRPr="004870C7" w:rsidRDefault="00CE078C" w:rsidP="003B2A79">
            <w:pPr>
              <w:rPr>
                <w:szCs w:val="22"/>
              </w:rPr>
            </w:pPr>
          </w:p>
        </w:tc>
        <w:tc>
          <w:tcPr>
            <w:tcW w:w="362" w:type="dxa"/>
            <w:shd w:val="clear" w:color="auto" w:fill="auto"/>
          </w:tcPr>
          <w:p w14:paraId="788FB425" w14:textId="77777777" w:rsidR="00CE078C" w:rsidRPr="004870C7" w:rsidRDefault="00CE078C" w:rsidP="003B2A79">
            <w:pPr>
              <w:rPr>
                <w:szCs w:val="22"/>
              </w:rPr>
            </w:pPr>
          </w:p>
        </w:tc>
      </w:tr>
      <w:tr w:rsidR="00CE078C" w:rsidRPr="004870C7" w14:paraId="4B6ED4F7" w14:textId="77777777" w:rsidTr="00CE078C">
        <w:tc>
          <w:tcPr>
            <w:tcW w:w="809" w:type="dxa"/>
            <w:vMerge/>
          </w:tcPr>
          <w:p w14:paraId="5EB299FB" w14:textId="77777777" w:rsidR="00CE078C" w:rsidRPr="004870C7" w:rsidRDefault="00CE078C" w:rsidP="003B2A79">
            <w:pPr>
              <w:rPr>
                <w:szCs w:val="22"/>
              </w:rPr>
            </w:pPr>
          </w:p>
        </w:tc>
        <w:tc>
          <w:tcPr>
            <w:tcW w:w="739" w:type="dxa"/>
            <w:vMerge w:val="restart"/>
            <w:shd w:val="clear" w:color="auto" w:fill="auto"/>
            <w:vAlign w:val="center"/>
          </w:tcPr>
          <w:p w14:paraId="04CA0894" w14:textId="1B214003" w:rsidR="00CE078C" w:rsidRPr="004870C7" w:rsidRDefault="00CE078C" w:rsidP="00CE078C">
            <w:pPr>
              <w:jc w:val="center"/>
              <w:rPr>
                <w:szCs w:val="22"/>
              </w:rPr>
            </w:pPr>
            <w:r w:rsidRPr="004870C7">
              <w:rPr>
                <w:szCs w:val="22"/>
              </w:rPr>
              <w:t>1.2</w:t>
            </w:r>
          </w:p>
        </w:tc>
        <w:tc>
          <w:tcPr>
            <w:tcW w:w="634" w:type="dxa"/>
          </w:tcPr>
          <w:p w14:paraId="55B7D9CD" w14:textId="6F194F8F" w:rsidR="00CE078C" w:rsidRPr="004870C7" w:rsidRDefault="00CE078C" w:rsidP="003B2A79">
            <w:pPr>
              <w:rPr>
                <w:szCs w:val="22"/>
              </w:rPr>
            </w:pPr>
            <w:r w:rsidRPr="004870C7">
              <w:rPr>
                <w:szCs w:val="22"/>
              </w:rPr>
              <w:t>1.2.1</w:t>
            </w:r>
          </w:p>
        </w:tc>
        <w:tc>
          <w:tcPr>
            <w:tcW w:w="362" w:type="dxa"/>
            <w:shd w:val="clear" w:color="auto" w:fill="auto"/>
          </w:tcPr>
          <w:p w14:paraId="092B649E" w14:textId="77777777" w:rsidR="00CE078C" w:rsidRPr="004870C7" w:rsidRDefault="00CE078C" w:rsidP="003B2A79">
            <w:pPr>
              <w:rPr>
                <w:szCs w:val="22"/>
              </w:rPr>
            </w:pPr>
          </w:p>
        </w:tc>
        <w:tc>
          <w:tcPr>
            <w:tcW w:w="362" w:type="dxa"/>
            <w:shd w:val="clear" w:color="auto" w:fill="auto"/>
          </w:tcPr>
          <w:p w14:paraId="60BFBE63" w14:textId="77777777" w:rsidR="00CE078C" w:rsidRPr="004870C7" w:rsidRDefault="00CE078C" w:rsidP="003B2A79">
            <w:pPr>
              <w:rPr>
                <w:szCs w:val="22"/>
              </w:rPr>
            </w:pPr>
          </w:p>
        </w:tc>
        <w:tc>
          <w:tcPr>
            <w:tcW w:w="362" w:type="dxa"/>
            <w:shd w:val="clear" w:color="auto" w:fill="auto"/>
          </w:tcPr>
          <w:p w14:paraId="36F7D6A0" w14:textId="77777777" w:rsidR="00CE078C" w:rsidRPr="004870C7" w:rsidRDefault="00CE078C" w:rsidP="003B2A79">
            <w:pPr>
              <w:rPr>
                <w:szCs w:val="22"/>
              </w:rPr>
            </w:pPr>
          </w:p>
        </w:tc>
        <w:tc>
          <w:tcPr>
            <w:tcW w:w="362" w:type="dxa"/>
            <w:shd w:val="clear" w:color="auto" w:fill="auto"/>
          </w:tcPr>
          <w:p w14:paraId="5CF178DD" w14:textId="77777777" w:rsidR="00CE078C" w:rsidRPr="004870C7" w:rsidRDefault="00CE078C" w:rsidP="003B2A79">
            <w:pPr>
              <w:rPr>
                <w:szCs w:val="22"/>
              </w:rPr>
            </w:pPr>
          </w:p>
        </w:tc>
        <w:tc>
          <w:tcPr>
            <w:tcW w:w="362" w:type="dxa"/>
            <w:shd w:val="clear" w:color="auto" w:fill="auto"/>
          </w:tcPr>
          <w:p w14:paraId="36B68DBA" w14:textId="77777777" w:rsidR="00CE078C" w:rsidRPr="004870C7" w:rsidRDefault="00CE078C" w:rsidP="003B2A79">
            <w:pPr>
              <w:rPr>
                <w:szCs w:val="22"/>
              </w:rPr>
            </w:pPr>
          </w:p>
        </w:tc>
        <w:tc>
          <w:tcPr>
            <w:tcW w:w="362" w:type="dxa"/>
            <w:shd w:val="clear" w:color="auto" w:fill="auto"/>
          </w:tcPr>
          <w:p w14:paraId="1467F170" w14:textId="77777777" w:rsidR="00CE078C" w:rsidRPr="004870C7" w:rsidRDefault="00CE078C" w:rsidP="003B2A79">
            <w:pPr>
              <w:rPr>
                <w:szCs w:val="22"/>
              </w:rPr>
            </w:pPr>
          </w:p>
        </w:tc>
        <w:tc>
          <w:tcPr>
            <w:tcW w:w="362" w:type="dxa"/>
            <w:shd w:val="clear" w:color="auto" w:fill="auto"/>
          </w:tcPr>
          <w:p w14:paraId="72A6197F" w14:textId="77777777" w:rsidR="00CE078C" w:rsidRPr="004870C7" w:rsidRDefault="00CE078C" w:rsidP="003B2A79">
            <w:pPr>
              <w:rPr>
                <w:szCs w:val="22"/>
              </w:rPr>
            </w:pPr>
          </w:p>
        </w:tc>
        <w:tc>
          <w:tcPr>
            <w:tcW w:w="362" w:type="dxa"/>
            <w:shd w:val="clear" w:color="auto" w:fill="auto"/>
          </w:tcPr>
          <w:p w14:paraId="692D05BC" w14:textId="77777777" w:rsidR="00CE078C" w:rsidRPr="004870C7" w:rsidRDefault="00CE078C" w:rsidP="003B2A79">
            <w:pPr>
              <w:rPr>
                <w:szCs w:val="22"/>
              </w:rPr>
            </w:pPr>
          </w:p>
        </w:tc>
        <w:tc>
          <w:tcPr>
            <w:tcW w:w="362" w:type="dxa"/>
            <w:shd w:val="clear" w:color="auto" w:fill="B4C6E7" w:themeFill="accent1" w:themeFillTint="66"/>
          </w:tcPr>
          <w:p w14:paraId="7F41ED03" w14:textId="77777777" w:rsidR="00CE078C" w:rsidRPr="004870C7" w:rsidRDefault="00CE078C" w:rsidP="003B2A79">
            <w:pPr>
              <w:rPr>
                <w:szCs w:val="22"/>
              </w:rPr>
            </w:pPr>
          </w:p>
        </w:tc>
        <w:tc>
          <w:tcPr>
            <w:tcW w:w="362" w:type="dxa"/>
            <w:shd w:val="clear" w:color="auto" w:fill="B4C6E7" w:themeFill="accent1" w:themeFillTint="66"/>
          </w:tcPr>
          <w:p w14:paraId="1F2E85A0" w14:textId="77777777" w:rsidR="00CE078C" w:rsidRPr="004870C7" w:rsidRDefault="00CE078C" w:rsidP="003B2A79">
            <w:pPr>
              <w:rPr>
                <w:szCs w:val="22"/>
              </w:rPr>
            </w:pPr>
          </w:p>
        </w:tc>
        <w:tc>
          <w:tcPr>
            <w:tcW w:w="362" w:type="dxa"/>
            <w:shd w:val="clear" w:color="auto" w:fill="B4C6E7" w:themeFill="accent1" w:themeFillTint="66"/>
          </w:tcPr>
          <w:p w14:paraId="56C91694" w14:textId="77777777" w:rsidR="00CE078C" w:rsidRPr="004870C7" w:rsidRDefault="00CE078C" w:rsidP="003B2A79">
            <w:pPr>
              <w:rPr>
                <w:szCs w:val="22"/>
              </w:rPr>
            </w:pPr>
          </w:p>
        </w:tc>
        <w:tc>
          <w:tcPr>
            <w:tcW w:w="362" w:type="dxa"/>
            <w:shd w:val="clear" w:color="auto" w:fill="B4C6E7" w:themeFill="accent1" w:themeFillTint="66"/>
          </w:tcPr>
          <w:p w14:paraId="7B74023B" w14:textId="77777777" w:rsidR="00CE078C" w:rsidRPr="004870C7" w:rsidRDefault="00CE078C" w:rsidP="003B2A79">
            <w:pPr>
              <w:rPr>
                <w:szCs w:val="22"/>
              </w:rPr>
            </w:pPr>
          </w:p>
        </w:tc>
        <w:tc>
          <w:tcPr>
            <w:tcW w:w="362" w:type="dxa"/>
            <w:shd w:val="clear" w:color="auto" w:fill="B4C6E7" w:themeFill="accent1" w:themeFillTint="66"/>
          </w:tcPr>
          <w:p w14:paraId="2C8682CD" w14:textId="77777777" w:rsidR="00CE078C" w:rsidRPr="004870C7" w:rsidRDefault="00CE078C" w:rsidP="003B2A79">
            <w:pPr>
              <w:rPr>
                <w:szCs w:val="22"/>
              </w:rPr>
            </w:pPr>
          </w:p>
        </w:tc>
        <w:tc>
          <w:tcPr>
            <w:tcW w:w="362" w:type="dxa"/>
            <w:shd w:val="clear" w:color="auto" w:fill="auto"/>
          </w:tcPr>
          <w:p w14:paraId="3F54C592" w14:textId="77777777" w:rsidR="00CE078C" w:rsidRPr="004870C7" w:rsidRDefault="00CE078C" w:rsidP="003B2A79">
            <w:pPr>
              <w:rPr>
                <w:szCs w:val="22"/>
              </w:rPr>
            </w:pPr>
          </w:p>
        </w:tc>
        <w:tc>
          <w:tcPr>
            <w:tcW w:w="362" w:type="dxa"/>
            <w:shd w:val="clear" w:color="auto" w:fill="auto"/>
          </w:tcPr>
          <w:p w14:paraId="322C3660" w14:textId="77777777" w:rsidR="00CE078C" w:rsidRPr="004870C7" w:rsidRDefault="00CE078C" w:rsidP="003B2A79">
            <w:pPr>
              <w:rPr>
                <w:szCs w:val="22"/>
              </w:rPr>
            </w:pPr>
          </w:p>
        </w:tc>
        <w:tc>
          <w:tcPr>
            <w:tcW w:w="362" w:type="dxa"/>
            <w:shd w:val="clear" w:color="auto" w:fill="auto"/>
          </w:tcPr>
          <w:p w14:paraId="652ECD86" w14:textId="77777777" w:rsidR="00CE078C" w:rsidRPr="004870C7" w:rsidRDefault="00CE078C" w:rsidP="003B2A79">
            <w:pPr>
              <w:rPr>
                <w:szCs w:val="22"/>
              </w:rPr>
            </w:pPr>
          </w:p>
        </w:tc>
        <w:tc>
          <w:tcPr>
            <w:tcW w:w="362" w:type="dxa"/>
            <w:shd w:val="clear" w:color="auto" w:fill="auto"/>
          </w:tcPr>
          <w:p w14:paraId="4F8F86EA" w14:textId="77777777" w:rsidR="00CE078C" w:rsidRPr="004870C7" w:rsidRDefault="00CE078C" w:rsidP="003B2A79">
            <w:pPr>
              <w:rPr>
                <w:szCs w:val="22"/>
              </w:rPr>
            </w:pPr>
          </w:p>
        </w:tc>
        <w:tc>
          <w:tcPr>
            <w:tcW w:w="362" w:type="dxa"/>
            <w:shd w:val="clear" w:color="auto" w:fill="auto"/>
          </w:tcPr>
          <w:p w14:paraId="503794CD" w14:textId="77777777" w:rsidR="00CE078C" w:rsidRPr="004870C7" w:rsidRDefault="00CE078C" w:rsidP="003B2A79">
            <w:pPr>
              <w:rPr>
                <w:szCs w:val="22"/>
              </w:rPr>
            </w:pPr>
          </w:p>
        </w:tc>
        <w:tc>
          <w:tcPr>
            <w:tcW w:w="362" w:type="dxa"/>
            <w:shd w:val="clear" w:color="auto" w:fill="auto"/>
          </w:tcPr>
          <w:p w14:paraId="7F54557C" w14:textId="77777777" w:rsidR="00CE078C" w:rsidRPr="004870C7" w:rsidRDefault="00CE078C" w:rsidP="003B2A79">
            <w:pPr>
              <w:rPr>
                <w:szCs w:val="22"/>
              </w:rPr>
            </w:pPr>
          </w:p>
        </w:tc>
        <w:tc>
          <w:tcPr>
            <w:tcW w:w="362" w:type="dxa"/>
            <w:shd w:val="clear" w:color="auto" w:fill="auto"/>
          </w:tcPr>
          <w:p w14:paraId="61606E28" w14:textId="77777777" w:rsidR="00CE078C" w:rsidRPr="004870C7" w:rsidRDefault="00CE078C" w:rsidP="003B2A79">
            <w:pPr>
              <w:rPr>
                <w:szCs w:val="22"/>
              </w:rPr>
            </w:pPr>
          </w:p>
        </w:tc>
      </w:tr>
      <w:tr w:rsidR="00CE078C" w:rsidRPr="004870C7" w14:paraId="20AC0CE6" w14:textId="77777777" w:rsidTr="00CE078C">
        <w:tc>
          <w:tcPr>
            <w:tcW w:w="809" w:type="dxa"/>
            <w:vMerge/>
          </w:tcPr>
          <w:p w14:paraId="3BC7281C" w14:textId="77777777" w:rsidR="00CE078C" w:rsidRPr="004870C7" w:rsidRDefault="00CE078C" w:rsidP="003B2A79">
            <w:pPr>
              <w:rPr>
                <w:szCs w:val="22"/>
              </w:rPr>
            </w:pPr>
          </w:p>
        </w:tc>
        <w:tc>
          <w:tcPr>
            <w:tcW w:w="739" w:type="dxa"/>
            <w:vMerge/>
            <w:shd w:val="clear" w:color="auto" w:fill="auto"/>
            <w:vAlign w:val="center"/>
          </w:tcPr>
          <w:p w14:paraId="625A8360" w14:textId="77777777" w:rsidR="00CE078C" w:rsidRPr="004870C7" w:rsidRDefault="00CE078C" w:rsidP="00CE078C">
            <w:pPr>
              <w:jc w:val="center"/>
              <w:rPr>
                <w:szCs w:val="22"/>
              </w:rPr>
            </w:pPr>
          </w:p>
        </w:tc>
        <w:tc>
          <w:tcPr>
            <w:tcW w:w="634" w:type="dxa"/>
          </w:tcPr>
          <w:p w14:paraId="456EE579" w14:textId="11712D98" w:rsidR="00CE078C" w:rsidRPr="004870C7" w:rsidRDefault="00CE078C" w:rsidP="003B2A79">
            <w:pPr>
              <w:rPr>
                <w:szCs w:val="22"/>
              </w:rPr>
            </w:pPr>
            <w:r w:rsidRPr="004870C7">
              <w:rPr>
                <w:szCs w:val="22"/>
              </w:rPr>
              <w:t>1.2.2</w:t>
            </w:r>
          </w:p>
        </w:tc>
        <w:tc>
          <w:tcPr>
            <w:tcW w:w="362" w:type="dxa"/>
            <w:shd w:val="clear" w:color="auto" w:fill="auto"/>
          </w:tcPr>
          <w:p w14:paraId="4A662680" w14:textId="77777777" w:rsidR="00CE078C" w:rsidRPr="004870C7" w:rsidRDefault="00CE078C" w:rsidP="003B2A79">
            <w:pPr>
              <w:rPr>
                <w:szCs w:val="22"/>
              </w:rPr>
            </w:pPr>
          </w:p>
        </w:tc>
        <w:tc>
          <w:tcPr>
            <w:tcW w:w="362" w:type="dxa"/>
            <w:shd w:val="clear" w:color="auto" w:fill="auto"/>
          </w:tcPr>
          <w:p w14:paraId="4BDFEAA5" w14:textId="77777777" w:rsidR="00CE078C" w:rsidRPr="004870C7" w:rsidRDefault="00CE078C" w:rsidP="003B2A79">
            <w:pPr>
              <w:rPr>
                <w:szCs w:val="22"/>
              </w:rPr>
            </w:pPr>
          </w:p>
        </w:tc>
        <w:tc>
          <w:tcPr>
            <w:tcW w:w="362" w:type="dxa"/>
            <w:shd w:val="clear" w:color="auto" w:fill="auto"/>
          </w:tcPr>
          <w:p w14:paraId="6839963A" w14:textId="77777777" w:rsidR="00CE078C" w:rsidRPr="004870C7" w:rsidRDefault="00CE078C" w:rsidP="003B2A79">
            <w:pPr>
              <w:rPr>
                <w:szCs w:val="22"/>
              </w:rPr>
            </w:pPr>
          </w:p>
        </w:tc>
        <w:tc>
          <w:tcPr>
            <w:tcW w:w="362" w:type="dxa"/>
            <w:shd w:val="clear" w:color="auto" w:fill="auto"/>
          </w:tcPr>
          <w:p w14:paraId="04452A8E" w14:textId="77777777" w:rsidR="00CE078C" w:rsidRPr="004870C7" w:rsidRDefault="00CE078C" w:rsidP="003B2A79">
            <w:pPr>
              <w:rPr>
                <w:szCs w:val="22"/>
              </w:rPr>
            </w:pPr>
          </w:p>
        </w:tc>
        <w:tc>
          <w:tcPr>
            <w:tcW w:w="362" w:type="dxa"/>
            <w:shd w:val="clear" w:color="auto" w:fill="auto"/>
          </w:tcPr>
          <w:p w14:paraId="6C7E4A3F" w14:textId="77777777" w:rsidR="00CE078C" w:rsidRPr="004870C7" w:rsidRDefault="00CE078C" w:rsidP="003B2A79">
            <w:pPr>
              <w:rPr>
                <w:szCs w:val="22"/>
              </w:rPr>
            </w:pPr>
          </w:p>
        </w:tc>
        <w:tc>
          <w:tcPr>
            <w:tcW w:w="362" w:type="dxa"/>
            <w:shd w:val="clear" w:color="auto" w:fill="auto"/>
          </w:tcPr>
          <w:p w14:paraId="43F349B9" w14:textId="77777777" w:rsidR="00CE078C" w:rsidRPr="004870C7" w:rsidRDefault="00CE078C" w:rsidP="003B2A79">
            <w:pPr>
              <w:rPr>
                <w:szCs w:val="22"/>
              </w:rPr>
            </w:pPr>
          </w:p>
        </w:tc>
        <w:tc>
          <w:tcPr>
            <w:tcW w:w="362" w:type="dxa"/>
            <w:shd w:val="clear" w:color="auto" w:fill="auto"/>
          </w:tcPr>
          <w:p w14:paraId="67601B57" w14:textId="77777777" w:rsidR="00CE078C" w:rsidRPr="004870C7" w:rsidRDefault="00CE078C" w:rsidP="003B2A79">
            <w:pPr>
              <w:rPr>
                <w:szCs w:val="22"/>
              </w:rPr>
            </w:pPr>
          </w:p>
        </w:tc>
        <w:tc>
          <w:tcPr>
            <w:tcW w:w="362" w:type="dxa"/>
            <w:shd w:val="clear" w:color="auto" w:fill="auto"/>
          </w:tcPr>
          <w:p w14:paraId="6D05D057" w14:textId="77777777" w:rsidR="00CE078C" w:rsidRPr="004870C7" w:rsidRDefault="00CE078C" w:rsidP="003B2A79">
            <w:pPr>
              <w:rPr>
                <w:szCs w:val="22"/>
              </w:rPr>
            </w:pPr>
          </w:p>
        </w:tc>
        <w:tc>
          <w:tcPr>
            <w:tcW w:w="362" w:type="dxa"/>
            <w:shd w:val="clear" w:color="auto" w:fill="B4C6E7" w:themeFill="accent1" w:themeFillTint="66"/>
          </w:tcPr>
          <w:p w14:paraId="13167D7D" w14:textId="77777777" w:rsidR="00CE078C" w:rsidRPr="004870C7" w:rsidRDefault="00CE078C" w:rsidP="003B2A79">
            <w:pPr>
              <w:rPr>
                <w:szCs w:val="22"/>
              </w:rPr>
            </w:pPr>
          </w:p>
        </w:tc>
        <w:tc>
          <w:tcPr>
            <w:tcW w:w="362" w:type="dxa"/>
            <w:shd w:val="clear" w:color="auto" w:fill="B4C6E7" w:themeFill="accent1" w:themeFillTint="66"/>
          </w:tcPr>
          <w:p w14:paraId="60D8DCD4" w14:textId="77777777" w:rsidR="00CE078C" w:rsidRPr="004870C7" w:rsidRDefault="00CE078C" w:rsidP="003B2A79">
            <w:pPr>
              <w:rPr>
                <w:szCs w:val="22"/>
              </w:rPr>
            </w:pPr>
          </w:p>
        </w:tc>
        <w:tc>
          <w:tcPr>
            <w:tcW w:w="362" w:type="dxa"/>
            <w:shd w:val="clear" w:color="auto" w:fill="B4C6E7" w:themeFill="accent1" w:themeFillTint="66"/>
          </w:tcPr>
          <w:p w14:paraId="7A9CA899" w14:textId="77777777" w:rsidR="00CE078C" w:rsidRPr="004870C7" w:rsidRDefault="00CE078C" w:rsidP="003B2A79">
            <w:pPr>
              <w:rPr>
                <w:szCs w:val="22"/>
              </w:rPr>
            </w:pPr>
          </w:p>
        </w:tc>
        <w:tc>
          <w:tcPr>
            <w:tcW w:w="362" w:type="dxa"/>
            <w:shd w:val="clear" w:color="auto" w:fill="B4C6E7" w:themeFill="accent1" w:themeFillTint="66"/>
          </w:tcPr>
          <w:p w14:paraId="66FCF1E3" w14:textId="77777777" w:rsidR="00CE078C" w:rsidRPr="004870C7" w:rsidRDefault="00CE078C" w:rsidP="003B2A79">
            <w:pPr>
              <w:rPr>
                <w:szCs w:val="22"/>
              </w:rPr>
            </w:pPr>
          </w:p>
        </w:tc>
        <w:tc>
          <w:tcPr>
            <w:tcW w:w="362" w:type="dxa"/>
            <w:shd w:val="clear" w:color="auto" w:fill="B4C6E7" w:themeFill="accent1" w:themeFillTint="66"/>
          </w:tcPr>
          <w:p w14:paraId="10D8787F" w14:textId="77777777" w:rsidR="00CE078C" w:rsidRPr="004870C7" w:rsidRDefault="00CE078C" w:rsidP="003B2A79">
            <w:pPr>
              <w:rPr>
                <w:szCs w:val="22"/>
              </w:rPr>
            </w:pPr>
          </w:p>
        </w:tc>
        <w:tc>
          <w:tcPr>
            <w:tcW w:w="362" w:type="dxa"/>
            <w:shd w:val="clear" w:color="auto" w:fill="auto"/>
          </w:tcPr>
          <w:p w14:paraId="5B934A3F" w14:textId="77777777" w:rsidR="00CE078C" w:rsidRPr="004870C7" w:rsidRDefault="00CE078C" w:rsidP="003B2A79">
            <w:pPr>
              <w:rPr>
                <w:szCs w:val="22"/>
              </w:rPr>
            </w:pPr>
          </w:p>
        </w:tc>
        <w:tc>
          <w:tcPr>
            <w:tcW w:w="362" w:type="dxa"/>
            <w:shd w:val="clear" w:color="auto" w:fill="auto"/>
          </w:tcPr>
          <w:p w14:paraId="3C942FE0" w14:textId="77777777" w:rsidR="00CE078C" w:rsidRPr="004870C7" w:rsidRDefault="00CE078C" w:rsidP="003B2A79">
            <w:pPr>
              <w:rPr>
                <w:szCs w:val="22"/>
              </w:rPr>
            </w:pPr>
          </w:p>
        </w:tc>
        <w:tc>
          <w:tcPr>
            <w:tcW w:w="362" w:type="dxa"/>
            <w:shd w:val="clear" w:color="auto" w:fill="auto"/>
          </w:tcPr>
          <w:p w14:paraId="1BFD67D0" w14:textId="77777777" w:rsidR="00CE078C" w:rsidRPr="004870C7" w:rsidRDefault="00CE078C" w:rsidP="003B2A79">
            <w:pPr>
              <w:rPr>
                <w:szCs w:val="22"/>
              </w:rPr>
            </w:pPr>
          </w:p>
        </w:tc>
        <w:tc>
          <w:tcPr>
            <w:tcW w:w="362" w:type="dxa"/>
            <w:shd w:val="clear" w:color="auto" w:fill="auto"/>
          </w:tcPr>
          <w:p w14:paraId="63845C52" w14:textId="77777777" w:rsidR="00CE078C" w:rsidRPr="004870C7" w:rsidRDefault="00CE078C" w:rsidP="003B2A79">
            <w:pPr>
              <w:rPr>
                <w:szCs w:val="22"/>
              </w:rPr>
            </w:pPr>
          </w:p>
        </w:tc>
        <w:tc>
          <w:tcPr>
            <w:tcW w:w="362" w:type="dxa"/>
            <w:shd w:val="clear" w:color="auto" w:fill="auto"/>
          </w:tcPr>
          <w:p w14:paraId="67D693BF" w14:textId="77777777" w:rsidR="00CE078C" w:rsidRPr="004870C7" w:rsidRDefault="00CE078C" w:rsidP="003B2A79">
            <w:pPr>
              <w:rPr>
                <w:szCs w:val="22"/>
              </w:rPr>
            </w:pPr>
          </w:p>
        </w:tc>
        <w:tc>
          <w:tcPr>
            <w:tcW w:w="362" w:type="dxa"/>
            <w:shd w:val="clear" w:color="auto" w:fill="auto"/>
          </w:tcPr>
          <w:p w14:paraId="2DEEFE0C" w14:textId="77777777" w:rsidR="00CE078C" w:rsidRPr="004870C7" w:rsidRDefault="00CE078C" w:rsidP="003B2A79">
            <w:pPr>
              <w:rPr>
                <w:szCs w:val="22"/>
              </w:rPr>
            </w:pPr>
          </w:p>
        </w:tc>
        <w:tc>
          <w:tcPr>
            <w:tcW w:w="362" w:type="dxa"/>
            <w:shd w:val="clear" w:color="auto" w:fill="auto"/>
          </w:tcPr>
          <w:p w14:paraId="4494EF45" w14:textId="77777777" w:rsidR="00CE078C" w:rsidRPr="004870C7" w:rsidRDefault="00CE078C" w:rsidP="003B2A79">
            <w:pPr>
              <w:rPr>
                <w:szCs w:val="22"/>
              </w:rPr>
            </w:pPr>
          </w:p>
        </w:tc>
      </w:tr>
      <w:tr w:rsidR="00CE078C" w:rsidRPr="004870C7" w14:paraId="45241DC4" w14:textId="77777777" w:rsidTr="00CE078C">
        <w:tc>
          <w:tcPr>
            <w:tcW w:w="809" w:type="dxa"/>
            <w:vMerge/>
          </w:tcPr>
          <w:p w14:paraId="75ECD8CD" w14:textId="77777777" w:rsidR="00CE078C" w:rsidRPr="004870C7" w:rsidRDefault="00CE078C" w:rsidP="003B2A79">
            <w:pPr>
              <w:rPr>
                <w:szCs w:val="22"/>
              </w:rPr>
            </w:pPr>
          </w:p>
        </w:tc>
        <w:tc>
          <w:tcPr>
            <w:tcW w:w="739" w:type="dxa"/>
            <w:vMerge/>
            <w:shd w:val="clear" w:color="auto" w:fill="auto"/>
            <w:vAlign w:val="center"/>
          </w:tcPr>
          <w:p w14:paraId="1A461ED8" w14:textId="77777777" w:rsidR="00CE078C" w:rsidRPr="004870C7" w:rsidRDefault="00CE078C" w:rsidP="00CE078C">
            <w:pPr>
              <w:jc w:val="center"/>
              <w:rPr>
                <w:szCs w:val="22"/>
              </w:rPr>
            </w:pPr>
          </w:p>
        </w:tc>
        <w:tc>
          <w:tcPr>
            <w:tcW w:w="634" w:type="dxa"/>
          </w:tcPr>
          <w:p w14:paraId="0F1A0D61" w14:textId="63024C19" w:rsidR="00CE078C" w:rsidRPr="004870C7" w:rsidRDefault="00CE078C" w:rsidP="003B2A79">
            <w:pPr>
              <w:rPr>
                <w:szCs w:val="22"/>
              </w:rPr>
            </w:pPr>
            <w:r w:rsidRPr="004870C7">
              <w:rPr>
                <w:szCs w:val="22"/>
              </w:rPr>
              <w:t>1.2.3</w:t>
            </w:r>
          </w:p>
        </w:tc>
        <w:tc>
          <w:tcPr>
            <w:tcW w:w="362" w:type="dxa"/>
            <w:shd w:val="clear" w:color="auto" w:fill="auto"/>
          </w:tcPr>
          <w:p w14:paraId="757FEB99" w14:textId="77777777" w:rsidR="00CE078C" w:rsidRPr="004870C7" w:rsidRDefault="00CE078C" w:rsidP="003B2A79">
            <w:pPr>
              <w:rPr>
                <w:szCs w:val="22"/>
              </w:rPr>
            </w:pPr>
          </w:p>
        </w:tc>
        <w:tc>
          <w:tcPr>
            <w:tcW w:w="362" w:type="dxa"/>
            <w:shd w:val="clear" w:color="auto" w:fill="auto"/>
          </w:tcPr>
          <w:p w14:paraId="477E309C" w14:textId="77777777" w:rsidR="00CE078C" w:rsidRPr="004870C7" w:rsidRDefault="00CE078C" w:rsidP="003B2A79">
            <w:pPr>
              <w:rPr>
                <w:szCs w:val="22"/>
              </w:rPr>
            </w:pPr>
          </w:p>
        </w:tc>
        <w:tc>
          <w:tcPr>
            <w:tcW w:w="362" w:type="dxa"/>
            <w:shd w:val="clear" w:color="auto" w:fill="auto"/>
          </w:tcPr>
          <w:p w14:paraId="4F1BBD64" w14:textId="77777777" w:rsidR="00CE078C" w:rsidRPr="004870C7" w:rsidRDefault="00CE078C" w:rsidP="003B2A79">
            <w:pPr>
              <w:rPr>
                <w:szCs w:val="22"/>
              </w:rPr>
            </w:pPr>
          </w:p>
        </w:tc>
        <w:tc>
          <w:tcPr>
            <w:tcW w:w="362" w:type="dxa"/>
            <w:shd w:val="clear" w:color="auto" w:fill="auto"/>
          </w:tcPr>
          <w:p w14:paraId="763D94AB" w14:textId="77777777" w:rsidR="00CE078C" w:rsidRPr="004870C7" w:rsidRDefault="00CE078C" w:rsidP="003B2A79">
            <w:pPr>
              <w:rPr>
                <w:szCs w:val="22"/>
              </w:rPr>
            </w:pPr>
          </w:p>
        </w:tc>
        <w:tc>
          <w:tcPr>
            <w:tcW w:w="362" w:type="dxa"/>
            <w:shd w:val="clear" w:color="auto" w:fill="auto"/>
          </w:tcPr>
          <w:p w14:paraId="337D612D" w14:textId="77777777" w:rsidR="00CE078C" w:rsidRPr="004870C7" w:rsidRDefault="00CE078C" w:rsidP="003B2A79">
            <w:pPr>
              <w:rPr>
                <w:szCs w:val="22"/>
              </w:rPr>
            </w:pPr>
          </w:p>
        </w:tc>
        <w:tc>
          <w:tcPr>
            <w:tcW w:w="362" w:type="dxa"/>
            <w:shd w:val="clear" w:color="auto" w:fill="auto"/>
          </w:tcPr>
          <w:p w14:paraId="6C05DB54" w14:textId="77777777" w:rsidR="00CE078C" w:rsidRPr="004870C7" w:rsidRDefault="00CE078C" w:rsidP="003B2A79">
            <w:pPr>
              <w:rPr>
                <w:szCs w:val="22"/>
              </w:rPr>
            </w:pPr>
          </w:p>
        </w:tc>
        <w:tc>
          <w:tcPr>
            <w:tcW w:w="362" w:type="dxa"/>
            <w:shd w:val="clear" w:color="auto" w:fill="auto"/>
          </w:tcPr>
          <w:p w14:paraId="37BC1981" w14:textId="77777777" w:rsidR="00CE078C" w:rsidRPr="004870C7" w:rsidRDefault="00CE078C" w:rsidP="003B2A79">
            <w:pPr>
              <w:rPr>
                <w:szCs w:val="22"/>
              </w:rPr>
            </w:pPr>
          </w:p>
        </w:tc>
        <w:tc>
          <w:tcPr>
            <w:tcW w:w="362" w:type="dxa"/>
            <w:shd w:val="clear" w:color="auto" w:fill="auto"/>
          </w:tcPr>
          <w:p w14:paraId="462B4A98" w14:textId="77777777" w:rsidR="00CE078C" w:rsidRPr="004870C7" w:rsidRDefault="00CE078C" w:rsidP="003B2A79">
            <w:pPr>
              <w:rPr>
                <w:szCs w:val="22"/>
              </w:rPr>
            </w:pPr>
          </w:p>
        </w:tc>
        <w:tc>
          <w:tcPr>
            <w:tcW w:w="362" w:type="dxa"/>
            <w:shd w:val="clear" w:color="auto" w:fill="B4C6E7" w:themeFill="accent1" w:themeFillTint="66"/>
          </w:tcPr>
          <w:p w14:paraId="05D9962B" w14:textId="77777777" w:rsidR="00CE078C" w:rsidRPr="004870C7" w:rsidRDefault="00CE078C" w:rsidP="003B2A79">
            <w:pPr>
              <w:rPr>
                <w:szCs w:val="22"/>
              </w:rPr>
            </w:pPr>
          </w:p>
        </w:tc>
        <w:tc>
          <w:tcPr>
            <w:tcW w:w="362" w:type="dxa"/>
            <w:shd w:val="clear" w:color="auto" w:fill="B4C6E7" w:themeFill="accent1" w:themeFillTint="66"/>
          </w:tcPr>
          <w:p w14:paraId="0762A726" w14:textId="77777777" w:rsidR="00CE078C" w:rsidRPr="004870C7" w:rsidRDefault="00CE078C" w:rsidP="003B2A79">
            <w:pPr>
              <w:rPr>
                <w:szCs w:val="22"/>
              </w:rPr>
            </w:pPr>
          </w:p>
        </w:tc>
        <w:tc>
          <w:tcPr>
            <w:tcW w:w="362" w:type="dxa"/>
            <w:shd w:val="clear" w:color="auto" w:fill="B4C6E7" w:themeFill="accent1" w:themeFillTint="66"/>
          </w:tcPr>
          <w:p w14:paraId="6EB300C5" w14:textId="77777777" w:rsidR="00CE078C" w:rsidRPr="004870C7" w:rsidRDefault="00CE078C" w:rsidP="003B2A79">
            <w:pPr>
              <w:rPr>
                <w:szCs w:val="22"/>
              </w:rPr>
            </w:pPr>
          </w:p>
        </w:tc>
        <w:tc>
          <w:tcPr>
            <w:tcW w:w="362" w:type="dxa"/>
            <w:shd w:val="clear" w:color="auto" w:fill="B4C6E7" w:themeFill="accent1" w:themeFillTint="66"/>
          </w:tcPr>
          <w:p w14:paraId="64316699" w14:textId="77777777" w:rsidR="00CE078C" w:rsidRPr="004870C7" w:rsidRDefault="00CE078C" w:rsidP="003B2A79">
            <w:pPr>
              <w:rPr>
                <w:szCs w:val="22"/>
              </w:rPr>
            </w:pPr>
          </w:p>
        </w:tc>
        <w:tc>
          <w:tcPr>
            <w:tcW w:w="362" w:type="dxa"/>
            <w:shd w:val="clear" w:color="auto" w:fill="B4C6E7" w:themeFill="accent1" w:themeFillTint="66"/>
          </w:tcPr>
          <w:p w14:paraId="5639DE1D" w14:textId="77777777" w:rsidR="00CE078C" w:rsidRPr="004870C7" w:rsidRDefault="00CE078C" w:rsidP="003B2A79">
            <w:pPr>
              <w:rPr>
                <w:szCs w:val="22"/>
              </w:rPr>
            </w:pPr>
          </w:p>
        </w:tc>
        <w:tc>
          <w:tcPr>
            <w:tcW w:w="362" w:type="dxa"/>
            <w:shd w:val="clear" w:color="auto" w:fill="auto"/>
          </w:tcPr>
          <w:p w14:paraId="050AD2E9" w14:textId="77777777" w:rsidR="00CE078C" w:rsidRPr="004870C7" w:rsidRDefault="00CE078C" w:rsidP="003B2A79">
            <w:pPr>
              <w:rPr>
                <w:szCs w:val="22"/>
              </w:rPr>
            </w:pPr>
          </w:p>
        </w:tc>
        <w:tc>
          <w:tcPr>
            <w:tcW w:w="362" w:type="dxa"/>
            <w:shd w:val="clear" w:color="auto" w:fill="auto"/>
          </w:tcPr>
          <w:p w14:paraId="0B49D5FE" w14:textId="77777777" w:rsidR="00CE078C" w:rsidRPr="004870C7" w:rsidRDefault="00CE078C" w:rsidP="003B2A79">
            <w:pPr>
              <w:rPr>
                <w:szCs w:val="22"/>
              </w:rPr>
            </w:pPr>
          </w:p>
        </w:tc>
        <w:tc>
          <w:tcPr>
            <w:tcW w:w="362" w:type="dxa"/>
            <w:shd w:val="clear" w:color="auto" w:fill="auto"/>
          </w:tcPr>
          <w:p w14:paraId="2AA31E3B" w14:textId="77777777" w:rsidR="00CE078C" w:rsidRPr="004870C7" w:rsidRDefault="00CE078C" w:rsidP="003B2A79">
            <w:pPr>
              <w:rPr>
                <w:szCs w:val="22"/>
              </w:rPr>
            </w:pPr>
          </w:p>
        </w:tc>
        <w:tc>
          <w:tcPr>
            <w:tcW w:w="362" w:type="dxa"/>
            <w:shd w:val="clear" w:color="auto" w:fill="auto"/>
          </w:tcPr>
          <w:p w14:paraId="4ECB96AC" w14:textId="77777777" w:rsidR="00CE078C" w:rsidRPr="004870C7" w:rsidRDefault="00CE078C" w:rsidP="003B2A79">
            <w:pPr>
              <w:rPr>
                <w:szCs w:val="22"/>
              </w:rPr>
            </w:pPr>
          </w:p>
        </w:tc>
        <w:tc>
          <w:tcPr>
            <w:tcW w:w="362" w:type="dxa"/>
            <w:shd w:val="clear" w:color="auto" w:fill="auto"/>
          </w:tcPr>
          <w:p w14:paraId="73602B22" w14:textId="77777777" w:rsidR="00CE078C" w:rsidRPr="004870C7" w:rsidRDefault="00CE078C" w:rsidP="003B2A79">
            <w:pPr>
              <w:rPr>
                <w:szCs w:val="22"/>
              </w:rPr>
            </w:pPr>
          </w:p>
        </w:tc>
        <w:tc>
          <w:tcPr>
            <w:tcW w:w="362" w:type="dxa"/>
            <w:shd w:val="clear" w:color="auto" w:fill="auto"/>
          </w:tcPr>
          <w:p w14:paraId="4B63B1B6" w14:textId="77777777" w:rsidR="00CE078C" w:rsidRPr="004870C7" w:rsidRDefault="00CE078C" w:rsidP="003B2A79">
            <w:pPr>
              <w:rPr>
                <w:szCs w:val="22"/>
              </w:rPr>
            </w:pPr>
          </w:p>
        </w:tc>
        <w:tc>
          <w:tcPr>
            <w:tcW w:w="362" w:type="dxa"/>
            <w:shd w:val="clear" w:color="auto" w:fill="auto"/>
          </w:tcPr>
          <w:p w14:paraId="4AA55E6B" w14:textId="77777777" w:rsidR="00CE078C" w:rsidRPr="004870C7" w:rsidRDefault="00CE078C" w:rsidP="003B2A79">
            <w:pPr>
              <w:rPr>
                <w:szCs w:val="22"/>
              </w:rPr>
            </w:pPr>
          </w:p>
        </w:tc>
      </w:tr>
      <w:tr w:rsidR="00CE078C" w:rsidRPr="004870C7" w14:paraId="74C8CB32" w14:textId="77777777" w:rsidTr="00CE078C">
        <w:tc>
          <w:tcPr>
            <w:tcW w:w="809" w:type="dxa"/>
            <w:vMerge/>
          </w:tcPr>
          <w:p w14:paraId="1596BB74" w14:textId="6A2E56C9" w:rsidR="00CE078C" w:rsidRPr="004870C7" w:rsidRDefault="00CE078C" w:rsidP="003B2A79">
            <w:pPr>
              <w:rPr>
                <w:szCs w:val="22"/>
              </w:rPr>
            </w:pPr>
          </w:p>
        </w:tc>
        <w:tc>
          <w:tcPr>
            <w:tcW w:w="739" w:type="dxa"/>
            <w:shd w:val="clear" w:color="auto" w:fill="auto"/>
            <w:vAlign w:val="center"/>
          </w:tcPr>
          <w:p w14:paraId="52A1FD0C" w14:textId="1BBCAA03" w:rsidR="00CE078C" w:rsidRPr="004870C7" w:rsidRDefault="00CE078C" w:rsidP="00CE078C">
            <w:pPr>
              <w:jc w:val="center"/>
              <w:rPr>
                <w:szCs w:val="22"/>
              </w:rPr>
            </w:pPr>
            <w:r w:rsidRPr="004870C7">
              <w:rPr>
                <w:szCs w:val="22"/>
              </w:rPr>
              <w:t>1.3</w:t>
            </w:r>
          </w:p>
        </w:tc>
        <w:tc>
          <w:tcPr>
            <w:tcW w:w="634" w:type="dxa"/>
          </w:tcPr>
          <w:p w14:paraId="2B75A022" w14:textId="49409C81" w:rsidR="00CE078C" w:rsidRPr="004870C7" w:rsidRDefault="00CE078C" w:rsidP="003B2A79">
            <w:pPr>
              <w:rPr>
                <w:szCs w:val="22"/>
              </w:rPr>
            </w:pPr>
            <w:r w:rsidRPr="004870C7">
              <w:rPr>
                <w:szCs w:val="22"/>
              </w:rPr>
              <w:t>1.3.1</w:t>
            </w:r>
          </w:p>
        </w:tc>
        <w:tc>
          <w:tcPr>
            <w:tcW w:w="362" w:type="dxa"/>
            <w:shd w:val="clear" w:color="auto" w:fill="auto"/>
          </w:tcPr>
          <w:p w14:paraId="5A8D0BF8" w14:textId="77777777" w:rsidR="00CE078C" w:rsidRPr="004870C7" w:rsidRDefault="00CE078C" w:rsidP="003B2A79">
            <w:pPr>
              <w:rPr>
                <w:szCs w:val="22"/>
              </w:rPr>
            </w:pPr>
          </w:p>
        </w:tc>
        <w:tc>
          <w:tcPr>
            <w:tcW w:w="362" w:type="dxa"/>
            <w:shd w:val="clear" w:color="auto" w:fill="auto"/>
          </w:tcPr>
          <w:p w14:paraId="70111E34" w14:textId="77777777" w:rsidR="00CE078C" w:rsidRPr="004870C7" w:rsidRDefault="00CE078C" w:rsidP="003B2A79">
            <w:pPr>
              <w:rPr>
                <w:szCs w:val="22"/>
              </w:rPr>
            </w:pPr>
          </w:p>
        </w:tc>
        <w:tc>
          <w:tcPr>
            <w:tcW w:w="362" w:type="dxa"/>
            <w:shd w:val="clear" w:color="auto" w:fill="auto"/>
          </w:tcPr>
          <w:p w14:paraId="5BC0AD6C" w14:textId="77777777" w:rsidR="00CE078C" w:rsidRPr="004870C7" w:rsidRDefault="00CE078C" w:rsidP="003B2A79">
            <w:pPr>
              <w:rPr>
                <w:szCs w:val="22"/>
              </w:rPr>
            </w:pPr>
          </w:p>
        </w:tc>
        <w:tc>
          <w:tcPr>
            <w:tcW w:w="362" w:type="dxa"/>
            <w:shd w:val="clear" w:color="auto" w:fill="auto"/>
          </w:tcPr>
          <w:p w14:paraId="09C9DDE2" w14:textId="77777777" w:rsidR="00CE078C" w:rsidRPr="004870C7" w:rsidRDefault="00CE078C" w:rsidP="003B2A79">
            <w:pPr>
              <w:rPr>
                <w:szCs w:val="22"/>
              </w:rPr>
            </w:pPr>
          </w:p>
        </w:tc>
        <w:tc>
          <w:tcPr>
            <w:tcW w:w="362" w:type="dxa"/>
            <w:shd w:val="clear" w:color="auto" w:fill="auto"/>
          </w:tcPr>
          <w:p w14:paraId="2051CBD2" w14:textId="77777777" w:rsidR="00CE078C" w:rsidRPr="004870C7" w:rsidRDefault="00CE078C" w:rsidP="003B2A79">
            <w:pPr>
              <w:rPr>
                <w:szCs w:val="22"/>
              </w:rPr>
            </w:pPr>
          </w:p>
        </w:tc>
        <w:tc>
          <w:tcPr>
            <w:tcW w:w="362" w:type="dxa"/>
            <w:shd w:val="clear" w:color="auto" w:fill="auto"/>
          </w:tcPr>
          <w:p w14:paraId="7D04EAE9" w14:textId="77777777" w:rsidR="00CE078C" w:rsidRPr="004870C7" w:rsidRDefault="00CE078C" w:rsidP="003B2A79">
            <w:pPr>
              <w:rPr>
                <w:szCs w:val="22"/>
              </w:rPr>
            </w:pPr>
          </w:p>
        </w:tc>
        <w:tc>
          <w:tcPr>
            <w:tcW w:w="362" w:type="dxa"/>
            <w:shd w:val="clear" w:color="auto" w:fill="auto"/>
          </w:tcPr>
          <w:p w14:paraId="40B4F29E" w14:textId="77777777" w:rsidR="00CE078C" w:rsidRPr="004870C7" w:rsidRDefault="00CE078C" w:rsidP="003B2A79">
            <w:pPr>
              <w:rPr>
                <w:szCs w:val="22"/>
              </w:rPr>
            </w:pPr>
          </w:p>
        </w:tc>
        <w:tc>
          <w:tcPr>
            <w:tcW w:w="362" w:type="dxa"/>
            <w:shd w:val="clear" w:color="auto" w:fill="auto"/>
          </w:tcPr>
          <w:p w14:paraId="78CC688B" w14:textId="77777777" w:rsidR="00CE078C" w:rsidRPr="004870C7" w:rsidRDefault="00CE078C" w:rsidP="003B2A79">
            <w:pPr>
              <w:rPr>
                <w:szCs w:val="22"/>
              </w:rPr>
            </w:pPr>
          </w:p>
        </w:tc>
        <w:tc>
          <w:tcPr>
            <w:tcW w:w="362" w:type="dxa"/>
            <w:shd w:val="clear" w:color="auto" w:fill="auto"/>
          </w:tcPr>
          <w:p w14:paraId="54D391D5" w14:textId="77777777" w:rsidR="00CE078C" w:rsidRPr="004870C7" w:rsidRDefault="00CE078C" w:rsidP="003B2A79">
            <w:pPr>
              <w:rPr>
                <w:szCs w:val="22"/>
              </w:rPr>
            </w:pPr>
          </w:p>
        </w:tc>
        <w:tc>
          <w:tcPr>
            <w:tcW w:w="362" w:type="dxa"/>
            <w:shd w:val="clear" w:color="auto" w:fill="auto"/>
          </w:tcPr>
          <w:p w14:paraId="538E839A" w14:textId="77777777" w:rsidR="00CE078C" w:rsidRPr="004870C7" w:rsidRDefault="00CE078C" w:rsidP="003B2A79">
            <w:pPr>
              <w:rPr>
                <w:szCs w:val="22"/>
              </w:rPr>
            </w:pPr>
          </w:p>
        </w:tc>
        <w:tc>
          <w:tcPr>
            <w:tcW w:w="362" w:type="dxa"/>
            <w:shd w:val="clear" w:color="auto" w:fill="B4C6E7" w:themeFill="accent1" w:themeFillTint="66"/>
          </w:tcPr>
          <w:p w14:paraId="1D5B8204" w14:textId="77777777" w:rsidR="00CE078C" w:rsidRPr="004870C7" w:rsidRDefault="00CE078C" w:rsidP="003B2A79">
            <w:pPr>
              <w:rPr>
                <w:szCs w:val="22"/>
              </w:rPr>
            </w:pPr>
          </w:p>
        </w:tc>
        <w:tc>
          <w:tcPr>
            <w:tcW w:w="362" w:type="dxa"/>
            <w:shd w:val="clear" w:color="auto" w:fill="B4C6E7" w:themeFill="accent1" w:themeFillTint="66"/>
          </w:tcPr>
          <w:p w14:paraId="5A97897A" w14:textId="77777777" w:rsidR="00CE078C" w:rsidRPr="004870C7" w:rsidRDefault="00CE078C" w:rsidP="003B2A79">
            <w:pPr>
              <w:rPr>
                <w:szCs w:val="22"/>
              </w:rPr>
            </w:pPr>
          </w:p>
        </w:tc>
        <w:tc>
          <w:tcPr>
            <w:tcW w:w="362" w:type="dxa"/>
            <w:shd w:val="clear" w:color="auto" w:fill="B4C6E7" w:themeFill="accent1" w:themeFillTint="66"/>
          </w:tcPr>
          <w:p w14:paraId="0281E5BD" w14:textId="77777777" w:rsidR="00CE078C" w:rsidRPr="004870C7" w:rsidRDefault="00CE078C" w:rsidP="003B2A79">
            <w:pPr>
              <w:rPr>
                <w:szCs w:val="22"/>
              </w:rPr>
            </w:pPr>
          </w:p>
        </w:tc>
        <w:tc>
          <w:tcPr>
            <w:tcW w:w="362" w:type="dxa"/>
            <w:shd w:val="clear" w:color="auto" w:fill="B4C6E7" w:themeFill="accent1" w:themeFillTint="66"/>
          </w:tcPr>
          <w:p w14:paraId="4C574406" w14:textId="77777777" w:rsidR="00CE078C" w:rsidRPr="004870C7" w:rsidRDefault="00CE078C" w:rsidP="003B2A79">
            <w:pPr>
              <w:rPr>
                <w:szCs w:val="22"/>
              </w:rPr>
            </w:pPr>
          </w:p>
        </w:tc>
        <w:tc>
          <w:tcPr>
            <w:tcW w:w="362" w:type="dxa"/>
            <w:shd w:val="clear" w:color="auto" w:fill="auto"/>
          </w:tcPr>
          <w:p w14:paraId="4AD97525" w14:textId="77777777" w:rsidR="00CE078C" w:rsidRPr="004870C7" w:rsidRDefault="00CE078C" w:rsidP="003B2A79">
            <w:pPr>
              <w:rPr>
                <w:szCs w:val="22"/>
              </w:rPr>
            </w:pPr>
          </w:p>
        </w:tc>
        <w:tc>
          <w:tcPr>
            <w:tcW w:w="362" w:type="dxa"/>
            <w:shd w:val="clear" w:color="auto" w:fill="auto"/>
          </w:tcPr>
          <w:p w14:paraId="136FEA8E" w14:textId="77777777" w:rsidR="00CE078C" w:rsidRPr="004870C7" w:rsidRDefault="00CE078C" w:rsidP="003B2A79">
            <w:pPr>
              <w:rPr>
                <w:szCs w:val="22"/>
              </w:rPr>
            </w:pPr>
          </w:p>
        </w:tc>
        <w:tc>
          <w:tcPr>
            <w:tcW w:w="362" w:type="dxa"/>
            <w:shd w:val="clear" w:color="auto" w:fill="auto"/>
          </w:tcPr>
          <w:p w14:paraId="47860275" w14:textId="77777777" w:rsidR="00CE078C" w:rsidRPr="004870C7" w:rsidRDefault="00CE078C" w:rsidP="003B2A79">
            <w:pPr>
              <w:rPr>
                <w:szCs w:val="22"/>
              </w:rPr>
            </w:pPr>
          </w:p>
        </w:tc>
        <w:tc>
          <w:tcPr>
            <w:tcW w:w="362" w:type="dxa"/>
            <w:shd w:val="clear" w:color="auto" w:fill="auto"/>
          </w:tcPr>
          <w:p w14:paraId="7B19172B" w14:textId="77777777" w:rsidR="00CE078C" w:rsidRPr="004870C7" w:rsidRDefault="00CE078C" w:rsidP="003B2A79">
            <w:pPr>
              <w:rPr>
                <w:szCs w:val="22"/>
              </w:rPr>
            </w:pPr>
          </w:p>
        </w:tc>
        <w:tc>
          <w:tcPr>
            <w:tcW w:w="362" w:type="dxa"/>
            <w:shd w:val="clear" w:color="auto" w:fill="auto"/>
          </w:tcPr>
          <w:p w14:paraId="0C9AD691" w14:textId="77777777" w:rsidR="00CE078C" w:rsidRPr="004870C7" w:rsidRDefault="00CE078C" w:rsidP="003B2A79">
            <w:pPr>
              <w:rPr>
                <w:szCs w:val="22"/>
              </w:rPr>
            </w:pPr>
          </w:p>
        </w:tc>
        <w:tc>
          <w:tcPr>
            <w:tcW w:w="362" w:type="dxa"/>
            <w:shd w:val="clear" w:color="auto" w:fill="auto"/>
          </w:tcPr>
          <w:p w14:paraId="2B263B97" w14:textId="77777777" w:rsidR="00CE078C" w:rsidRPr="004870C7" w:rsidRDefault="00CE078C" w:rsidP="003B2A79">
            <w:pPr>
              <w:rPr>
                <w:szCs w:val="22"/>
              </w:rPr>
            </w:pPr>
          </w:p>
        </w:tc>
      </w:tr>
      <w:tr w:rsidR="00CD29BD" w:rsidRPr="004870C7" w14:paraId="6B55147D" w14:textId="77777777" w:rsidTr="00E27A50">
        <w:tc>
          <w:tcPr>
            <w:tcW w:w="809" w:type="dxa"/>
            <w:vMerge w:val="restart"/>
            <w:vAlign w:val="center"/>
          </w:tcPr>
          <w:p w14:paraId="29E416BE" w14:textId="69114658" w:rsidR="00CD29BD" w:rsidRPr="004870C7" w:rsidRDefault="00CD29BD" w:rsidP="00983641">
            <w:pPr>
              <w:jc w:val="center"/>
              <w:rPr>
                <w:szCs w:val="22"/>
              </w:rPr>
            </w:pPr>
            <w:r w:rsidRPr="004870C7">
              <w:rPr>
                <w:szCs w:val="22"/>
              </w:rPr>
              <w:t>Component 2</w:t>
            </w:r>
          </w:p>
        </w:tc>
        <w:tc>
          <w:tcPr>
            <w:tcW w:w="739" w:type="dxa"/>
            <w:vMerge w:val="restart"/>
            <w:shd w:val="clear" w:color="auto" w:fill="auto"/>
            <w:vAlign w:val="center"/>
          </w:tcPr>
          <w:p w14:paraId="2E4941A7" w14:textId="7D54CC7B" w:rsidR="00CD29BD" w:rsidRPr="004870C7" w:rsidRDefault="00CD29BD" w:rsidP="00CE078C">
            <w:pPr>
              <w:jc w:val="center"/>
              <w:rPr>
                <w:szCs w:val="22"/>
              </w:rPr>
            </w:pPr>
            <w:r w:rsidRPr="004870C7">
              <w:rPr>
                <w:szCs w:val="22"/>
              </w:rPr>
              <w:t>2.1</w:t>
            </w:r>
          </w:p>
        </w:tc>
        <w:tc>
          <w:tcPr>
            <w:tcW w:w="634" w:type="dxa"/>
          </w:tcPr>
          <w:p w14:paraId="4B687A36" w14:textId="53556FF9" w:rsidR="00CD29BD" w:rsidRPr="004870C7" w:rsidRDefault="00CD29BD" w:rsidP="003B2A79">
            <w:pPr>
              <w:rPr>
                <w:szCs w:val="22"/>
              </w:rPr>
            </w:pPr>
            <w:r w:rsidRPr="004870C7">
              <w:rPr>
                <w:szCs w:val="22"/>
              </w:rPr>
              <w:t>2.1.1</w:t>
            </w:r>
          </w:p>
        </w:tc>
        <w:tc>
          <w:tcPr>
            <w:tcW w:w="362" w:type="dxa"/>
            <w:shd w:val="clear" w:color="auto" w:fill="auto"/>
          </w:tcPr>
          <w:p w14:paraId="02253B98" w14:textId="77777777" w:rsidR="00CD29BD" w:rsidRPr="004870C7" w:rsidRDefault="00CD29BD" w:rsidP="003B2A79">
            <w:pPr>
              <w:rPr>
                <w:szCs w:val="22"/>
              </w:rPr>
            </w:pPr>
          </w:p>
        </w:tc>
        <w:tc>
          <w:tcPr>
            <w:tcW w:w="362" w:type="dxa"/>
            <w:shd w:val="clear" w:color="auto" w:fill="auto"/>
          </w:tcPr>
          <w:p w14:paraId="696BDEC1" w14:textId="77777777" w:rsidR="00CD29BD" w:rsidRPr="004870C7" w:rsidRDefault="00CD29BD" w:rsidP="003B2A79">
            <w:pPr>
              <w:rPr>
                <w:szCs w:val="22"/>
              </w:rPr>
            </w:pPr>
          </w:p>
        </w:tc>
        <w:tc>
          <w:tcPr>
            <w:tcW w:w="362" w:type="dxa"/>
            <w:shd w:val="clear" w:color="auto" w:fill="auto"/>
          </w:tcPr>
          <w:p w14:paraId="6A4D7638" w14:textId="77777777" w:rsidR="00CD29BD" w:rsidRPr="004870C7" w:rsidRDefault="00CD29BD" w:rsidP="003B2A79">
            <w:pPr>
              <w:rPr>
                <w:szCs w:val="22"/>
              </w:rPr>
            </w:pPr>
          </w:p>
        </w:tc>
        <w:tc>
          <w:tcPr>
            <w:tcW w:w="362" w:type="dxa"/>
            <w:shd w:val="clear" w:color="auto" w:fill="auto"/>
          </w:tcPr>
          <w:p w14:paraId="38BD2699" w14:textId="77777777" w:rsidR="00CD29BD" w:rsidRPr="004870C7" w:rsidRDefault="00CD29BD" w:rsidP="003B2A79">
            <w:pPr>
              <w:rPr>
                <w:szCs w:val="22"/>
              </w:rPr>
            </w:pPr>
          </w:p>
        </w:tc>
        <w:tc>
          <w:tcPr>
            <w:tcW w:w="362" w:type="dxa"/>
            <w:shd w:val="clear" w:color="auto" w:fill="B4C6E7" w:themeFill="accent1" w:themeFillTint="66"/>
          </w:tcPr>
          <w:p w14:paraId="4B7E96C5" w14:textId="77777777" w:rsidR="00CD29BD" w:rsidRPr="004870C7" w:rsidRDefault="00CD29BD" w:rsidP="003B2A79">
            <w:pPr>
              <w:rPr>
                <w:szCs w:val="22"/>
              </w:rPr>
            </w:pPr>
          </w:p>
        </w:tc>
        <w:tc>
          <w:tcPr>
            <w:tcW w:w="362" w:type="dxa"/>
            <w:shd w:val="clear" w:color="auto" w:fill="B4C6E7" w:themeFill="accent1" w:themeFillTint="66"/>
          </w:tcPr>
          <w:p w14:paraId="526ADF94" w14:textId="77777777" w:rsidR="00CD29BD" w:rsidRPr="004870C7" w:rsidRDefault="00CD29BD" w:rsidP="003B2A79">
            <w:pPr>
              <w:rPr>
                <w:szCs w:val="22"/>
              </w:rPr>
            </w:pPr>
          </w:p>
        </w:tc>
        <w:tc>
          <w:tcPr>
            <w:tcW w:w="362" w:type="dxa"/>
            <w:shd w:val="clear" w:color="auto" w:fill="B4C6E7" w:themeFill="accent1" w:themeFillTint="66"/>
          </w:tcPr>
          <w:p w14:paraId="69100CB3" w14:textId="77777777" w:rsidR="00CD29BD" w:rsidRPr="004870C7" w:rsidRDefault="00CD29BD" w:rsidP="003B2A79">
            <w:pPr>
              <w:rPr>
                <w:szCs w:val="22"/>
              </w:rPr>
            </w:pPr>
          </w:p>
        </w:tc>
        <w:tc>
          <w:tcPr>
            <w:tcW w:w="362" w:type="dxa"/>
            <w:shd w:val="clear" w:color="auto" w:fill="B4C6E7" w:themeFill="accent1" w:themeFillTint="66"/>
          </w:tcPr>
          <w:p w14:paraId="27C42A5C" w14:textId="77777777" w:rsidR="00CD29BD" w:rsidRPr="004870C7" w:rsidRDefault="00CD29BD" w:rsidP="003B2A79">
            <w:pPr>
              <w:rPr>
                <w:szCs w:val="22"/>
              </w:rPr>
            </w:pPr>
          </w:p>
        </w:tc>
        <w:tc>
          <w:tcPr>
            <w:tcW w:w="362" w:type="dxa"/>
            <w:shd w:val="clear" w:color="auto" w:fill="B4C6E7" w:themeFill="accent1" w:themeFillTint="66"/>
          </w:tcPr>
          <w:p w14:paraId="2B99E483" w14:textId="77777777" w:rsidR="00CD29BD" w:rsidRPr="004870C7" w:rsidRDefault="00CD29BD" w:rsidP="003B2A79">
            <w:pPr>
              <w:rPr>
                <w:szCs w:val="22"/>
              </w:rPr>
            </w:pPr>
          </w:p>
        </w:tc>
        <w:tc>
          <w:tcPr>
            <w:tcW w:w="362" w:type="dxa"/>
            <w:shd w:val="clear" w:color="auto" w:fill="B4C6E7" w:themeFill="accent1" w:themeFillTint="66"/>
          </w:tcPr>
          <w:p w14:paraId="49E04E4E" w14:textId="77777777" w:rsidR="00CD29BD" w:rsidRPr="004870C7" w:rsidRDefault="00CD29BD" w:rsidP="003B2A79">
            <w:pPr>
              <w:rPr>
                <w:szCs w:val="22"/>
              </w:rPr>
            </w:pPr>
          </w:p>
        </w:tc>
        <w:tc>
          <w:tcPr>
            <w:tcW w:w="362" w:type="dxa"/>
            <w:shd w:val="clear" w:color="auto" w:fill="B4C6E7" w:themeFill="accent1" w:themeFillTint="66"/>
          </w:tcPr>
          <w:p w14:paraId="3D28E293" w14:textId="77777777" w:rsidR="00CD29BD" w:rsidRPr="004870C7" w:rsidRDefault="00CD29BD" w:rsidP="003B2A79">
            <w:pPr>
              <w:rPr>
                <w:szCs w:val="22"/>
              </w:rPr>
            </w:pPr>
          </w:p>
        </w:tc>
        <w:tc>
          <w:tcPr>
            <w:tcW w:w="362" w:type="dxa"/>
            <w:shd w:val="clear" w:color="auto" w:fill="B4C6E7" w:themeFill="accent1" w:themeFillTint="66"/>
          </w:tcPr>
          <w:p w14:paraId="6488EBE1" w14:textId="77777777" w:rsidR="00CD29BD" w:rsidRPr="004870C7" w:rsidRDefault="00CD29BD" w:rsidP="003B2A79">
            <w:pPr>
              <w:rPr>
                <w:szCs w:val="22"/>
              </w:rPr>
            </w:pPr>
          </w:p>
        </w:tc>
        <w:tc>
          <w:tcPr>
            <w:tcW w:w="362" w:type="dxa"/>
            <w:shd w:val="clear" w:color="auto" w:fill="FFFFFF" w:themeFill="background1"/>
          </w:tcPr>
          <w:p w14:paraId="73CE05B4" w14:textId="77777777" w:rsidR="00CD29BD" w:rsidRPr="004870C7" w:rsidRDefault="00CD29BD" w:rsidP="003B2A79">
            <w:pPr>
              <w:rPr>
                <w:szCs w:val="22"/>
              </w:rPr>
            </w:pPr>
          </w:p>
        </w:tc>
        <w:tc>
          <w:tcPr>
            <w:tcW w:w="362" w:type="dxa"/>
            <w:shd w:val="clear" w:color="auto" w:fill="auto"/>
          </w:tcPr>
          <w:p w14:paraId="41BDCAF8" w14:textId="77777777" w:rsidR="00CD29BD" w:rsidRPr="004870C7" w:rsidRDefault="00CD29BD" w:rsidP="003B2A79">
            <w:pPr>
              <w:rPr>
                <w:szCs w:val="22"/>
              </w:rPr>
            </w:pPr>
          </w:p>
        </w:tc>
        <w:tc>
          <w:tcPr>
            <w:tcW w:w="362" w:type="dxa"/>
            <w:shd w:val="clear" w:color="auto" w:fill="auto"/>
          </w:tcPr>
          <w:p w14:paraId="29205A3F" w14:textId="77777777" w:rsidR="00CD29BD" w:rsidRPr="004870C7" w:rsidRDefault="00CD29BD" w:rsidP="003B2A79">
            <w:pPr>
              <w:rPr>
                <w:szCs w:val="22"/>
              </w:rPr>
            </w:pPr>
          </w:p>
        </w:tc>
        <w:tc>
          <w:tcPr>
            <w:tcW w:w="362" w:type="dxa"/>
            <w:shd w:val="clear" w:color="auto" w:fill="auto"/>
          </w:tcPr>
          <w:p w14:paraId="5932E7AB" w14:textId="77777777" w:rsidR="00CD29BD" w:rsidRPr="004870C7" w:rsidRDefault="00CD29BD" w:rsidP="003B2A79">
            <w:pPr>
              <w:rPr>
                <w:szCs w:val="22"/>
              </w:rPr>
            </w:pPr>
          </w:p>
        </w:tc>
        <w:tc>
          <w:tcPr>
            <w:tcW w:w="362" w:type="dxa"/>
            <w:shd w:val="clear" w:color="auto" w:fill="auto"/>
          </w:tcPr>
          <w:p w14:paraId="10EE8196" w14:textId="77777777" w:rsidR="00CD29BD" w:rsidRPr="004870C7" w:rsidRDefault="00CD29BD" w:rsidP="003B2A79">
            <w:pPr>
              <w:rPr>
                <w:szCs w:val="22"/>
              </w:rPr>
            </w:pPr>
          </w:p>
        </w:tc>
        <w:tc>
          <w:tcPr>
            <w:tcW w:w="362" w:type="dxa"/>
            <w:shd w:val="clear" w:color="auto" w:fill="auto"/>
          </w:tcPr>
          <w:p w14:paraId="28EE11A3" w14:textId="77777777" w:rsidR="00CD29BD" w:rsidRPr="004870C7" w:rsidRDefault="00CD29BD" w:rsidP="003B2A79">
            <w:pPr>
              <w:rPr>
                <w:szCs w:val="22"/>
              </w:rPr>
            </w:pPr>
          </w:p>
        </w:tc>
        <w:tc>
          <w:tcPr>
            <w:tcW w:w="362" w:type="dxa"/>
            <w:shd w:val="clear" w:color="auto" w:fill="auto"/>
          </w:tcPr>
          <w:p w14:paraId="50277241" w14:textId="77777777" w:rsidR="00CD29BD" w:rsidRPr="004870C7" w:rsidRDefault="00CD29BD" w:rsidP="003B2A79">
            <w:pPr>
              <w:rPr>
                <w:szCs w:val="22"/>
              </w:rPr>
            </w:pPr>
          </w:p>
        </w:tc>
        <w:tc>
          <w:tcPr>
            <w:tcW w:w="362" w:type="dxa"/>
            <w:shd w:val="clear" w:color="auto" w:fill="auto"/>
          </w:tcPr>
          <w:p w14:paraId="145711DD" w14:textId="77777777" w:rsidR="00CD29BD" w:rsidRPr="004870C7" w:rsidRDefault="00CD29BD" w:rsidP="003B2A79">
            <w:pPr>
              <w:rPr>
                <w:szCs w:val="22"/>
              </w:rPr>
            </w:pPr>
          </w:p>
        </w:tc>
      </w:tr>
      <w:tr w:rsidR="00CD29BD" w:rsidRPr="004870C7" w14:paraId="014F5EC2" w14:textId="77777777" w:rsidTr="00E27A50">
        <w:tc>
          <w:tcPr>
            <w:tcW w:w="809" w:type="dxa"/>
            <w:vMerge/>
            <w:vAlign w:val="center"/>
          </w:tcPr>
          <w:p w14:paraId="39FFEB02" w14:textId="77777777" w:rsidR="00CD29BD" w:rsidRPr="004870C7" w:rsidRDefault="00CD29BD" w:rsidP="003B2A79">
            <w:pPr>
              <w:rPr>
                <w:szCs w:val="22"/>
              </w:rPr>
            </w:pPr>
          </w:p>
        </w:tc>
        <w:tc>
          <w:tcPr>
            <w:tcW w:w="739" w:type="dxa"/>
            <w:vMerge/>
            <w:shd w:val="clear" w:color="auto" w:fill="auto"/>
            <w:vAlign w:val="center"/>
          </w:tcPr>
          <w:p w14:paraId="29E77F46" w14:textId="77777777" w:rsidR="00CD29BD" w:rsidRPr="004870C7" w:rsidRDefault="00CD29BD" w:rsidP="00CE078C">
            <w:pPr>
              <w:jc w:val="center"/>
              <w:rPr>
                <w:szCs w:val="22"/>
              </w:rPr>
            </w:pPr>
          </w:p>
        </w:tc>
        <w:tc>
          <w:tcPr>
            <w:tcW w:w="634" w:type="dxa"/>
          </w:tcPr>
          <w:p w14:paraId="310A6836" w14:textId="020AF46C" w:rsidR="00CD29BD" w:rsidRPr="004870C7" w:rsidRDefault="00CD29BD" w:rsidP="003B2A79">
            <w:pPr>
              <w:rPr>
                <w:szCs w:val="22"/>
              </w:rPr>
            </w:pPr>
            <w:r w:rsidRPr="004870C7">
              <w:rPr>
                <w:szCs w:val="22"/>
              </w:rPr>
              <w:t>2.1.2</w:t>
            </w:r>
          </w:p>
        </w:tc>
        <w:tc>
          <w:tcPr>
            <w:tcW w:w="362" w:type="dxa"/>
            <w:shd w:val="clear" w:color="auto" w:fill="auto"/>
          </w:tcPr>
          <w:p w14:paraId="774CB9E7" w14:textId="77777777" w:rsidR="00CD29BD" w:rsidRPr="004870C7" w:rsidRDefault="00CD29BD" w:rsidP="003B2A79">
            <w:pPr>
              <w:rPr>
                <w:szCs w:val="22"/>
              </w:rPr>
            </w:pPr>
          </w:p>
        </w:tc>
        <w:tc>
          <w:tcPr>
            <w:tcW w:w="362" w:type="dxa"/>
            <w:shd w:val="clear" w:color="auto" w:fill="auto"/>
          </w:tcPr>
          <w:p w14:paraId="5584CE66" w14:textId="77777777" w:rsidR="00CD29BD" w:rsidRPr="004870C7" w:rsidRDefault="00CD29BD" w:rsidP="003B2A79">
            <w:pPr>
              <w:rPr>
                <w:szCs w:val="22"/>
              </w:rPr>
            </w:pPr>
          </w:p>
        </w:tc>
        <w:tc>
          <w:tcPr>
            <w:tcW w:w="362" w:type="dxa"/>
            <w:shd w:val="clear" w:color="auto" w:fill="auto"/>
          </w:tcPr>
          <w:p w14:paraId="62EF0614" w14:textId="77777777" w:rsidR="00CD29BD" w:rsidRPr="004870C7" w:rsidRDefault="00CD29BD" w:rsidP="003B2A79">
            <w:pPr>
              <w:rPr>
                <w:szCs w:val="22"/>
              </w:rPr>
            </w:pPr>
          </w:p>
        </w:tc>
        <w:tc>
          <w:tcPr>
            <w:tcW w:w="362" w:type="dxa"/>
            <w:shd w:val="clear" w:color="auto" w:fill="auto"/>
          </w:tcPr>
          <w:p w14:paraId="06C9241B" w14:textId="77777777" w:rsidR="00CD29BD" w:rsidRPr="004870C7" w:rsidRDefault="00CD29BD" w:rsidP="003B2A79">
            <w:pPr>
              <w:rPr>
                <w:szCs w:val="22"/>
              </w:rPr>
            </w:pPr>
          </w:p>
        </w:tc>
        <w:tc>
          <w:tcPr>
            <w:tcW w:w="362" w:type="dxa"/>
            <w:shd w:val="clear" w:color="auto" w:fill="B4C6E7" w:themeFill="accent1" w:themeFillTint="66"/>
          </w:tcPr>
          <w:p w14:paraId="6D7AD66E" w14:textId="77777777" w:rsidR="00CD29BD" w:rsidRPr="004870C7" w:rsidRDefault="00CD29BD" w:rsidP="003B2A79">
            <w:pPr>
              <w:rPr>
                <w:szCs w:val="22"/>
              </w:rPr>
            </w:pPr>
          </w:p>
        </w:tc>
        <w:tc>
          <w:tcPr>
            <w:tcW w:w="362" w:type="dxa"/>
            <w:shd w:val="clear" w:color="auto" w:fill="B4C6E7" w:themeFill="accent1" w:themeFillTint="66"/>
          </w:tcPr>
          <w:p w14:paraId="1C8123C3" w14:textId="77777777" w:rsidR="00CD29BD" w:rsidRPr="004870C7" w:rsidRDefault="00CD29BD" w:rsidP="003B2A79">
            <w:pPr>
              <w:rPr>
                <w:szCs w:val="22"/>
              </w:rPr>
            </w:pPr>
          </w:p>
        </w:tc>
        <w:tc>
          <w:tcPr>
            <w:tcW w:w="362" w:type="dxa"/>
            <w:shd w:val="clear" w:color="auto" w:fill="B4C6E7" w:themeFill="accent1" w:themeFillTint="66"/>
          </w:tcPr>
          <w:p w14:paraId="2145B59A" w14:textId="77777777" w:rsidR="00CD29BD" w:rsidRPr="004870C7" w:rsidRDefault="00CD29BD" w:rsidP="003B2A79">
            <w:pPr>
              <w:rPr>
                <w:szCs w:val="22"/>
              </w:rPr>
            </w:pPr>
          </w:p>
        </w:tc>
        <w:tc>
          <w:tcPr>
            <w:tcW w:w="362" w:type="dxa"/>
            <w:shd w:val="clear" w:color="auto" w:fill="B4C6E7" w:themeFill="accent1" w:themeFillTint="66"/>
          </w:tcPr>
          <w:p w14:paraId="0A548C8C" w14:textId="77777777" w:rsidR="00CD29BD" w:rsidRPr="004870C7" w:rsidRDefault="00CD29BD" w:rsidP="003B2A79">
            <w:pPr>
              <w:rPr>
                <w:szCs w:val="22"/>
              </w:rPr>
            </w:pPr>
          </w:p>
        </w:tc>
        <w:tc>
          <w:tcPr>
            <w:tcW w:w="362" w:type="dxa"/>
            <w:shd w:val="clear" w:color="auto" w:fill="B4C6E7" w:themeFill="accent1" w:themeFillTint="66"/>
          </w:tcPr>
          <w:p w14:paraId="68A081CB" w14:textId="77777777" w:rsidR="00CD29BD" w:rsidRPr="004870C7" w:rsidRDefault="00CD29BD" w:rsidP="003B2A79">
            <w:pPr>
              <w:rPr>
                <w:szCs w:val="22"/>
              </w:rPr>
            </w:pPr>
          </w:p>
        </w:tc>
        <w:tc>
          <w:tcPr>
            <w:tcW w:w="362" w:type="dxa"/>
            <w:shd w:val="clear" w:color="auto" w:fill="B4C6E7" w:themeFill="accent1" w:themeFillTint="66"/>
          </w:tcPr>
          <w:p w14:paraId="70A025A8" w14:textId="77777777" w:rsidR="00CD29BD" w:rsidRPr="004870C7" w:rsidRDefault="00CD29BD" w:rsidP="003B2A79">
            <w:pPr>
              <w:rPr>
                <w:szCs w:val="22"/>
              </w:rPr>
            </w:pPr>
          </w:p>
        </w:tc>
        <w:tc>
          <w:tcPr>
            <w:tcW w:w="362" w:type="dxa"/>
            <w:shd w:val="clear" w:color="auto" w:fill="B4C6E7" w:themeFill="accent1" w:themeFillTint="66"/>
          </w:tcPr>
          <w:p w14:paraId="4AD180DD" w14:textId="77777777" w:rsidR="00CD29BD" w:rsidRPr="004870C7" w:rsidRDefault="00CD29BD" w:rsidP="003B2A79">
            <w:pPr>
              <w:rPr>
                <w:szCs w:val="22"/>
              </w:rPr>
            </w:pPr>
          </w:p>
        </w:tc>
        <w:tc>
          <w:tcPr>
            <w:tcW w:w="362" w:type="dxa"/>
            <w:shd w:val="clear" w:color="auto" w:fill="B4C6E7" w:themeFill="accent1" w:themeFillTint="66"/>
          </w:tcPr>
          <w:p w14:paraId="6249683D" w14:textId="77777777" w:rsidR="00CD29BD" w:rsidRPr="004870C7" w:rsidRDefault="00CD29BD" w:rsidP="003B2A79">
            <w:pPr>
              <w:rPr>
                <w:szCs w:val="22"/>
              </w:rPr>
            </w:pPr>
          </w:p>
        </w:tc>
        <w:tc>
          <w:tcPr>
            <w:tcW w:w="362" w:type="dxa"/>
            <w:shd w:val="clear" w:color="auto" w:fill="FFFFFF" w:themeFill="background1"/>
          </w:tcPr>
          <w:p w14:paraId="3530D0B7" w14:textId="77777777" w:rsidR="00CD29BD" w:rsidRPr="004870C7" w:rsidRDefault="00CD29BD" w:rsidP="003B2A79">
            <w:pPr>
              <w:rPr>
                <w:szCs w:val="22"/>
              </w:rPr>
            </w:pPr>
          </w:p>
        </w:tc>
        <w:tc>
          <w:tcPr>
            <w:tcW w:w="362" w:type="dxa"/>
            <w:shd w:val="clear" w:color="auto" w:fill="auto"/>
          </w:tcPr>
          <w:p w14:paraId="2CC3CD2E" w14:textId="77777777" w:rsidR="00CD29BD" w:rsidRPr="004870C7" w:rsidRDefault="00CD29BD" w:rsidP="003B2A79">
            <w:pPr>
              <w:rPr>
                <w:szCs w:val="22"/>
              </w:rPr>
            </w:pPr>
          </w:p>
        </w:tc>
        <w:tc>
          <w:tcPr>
            <w:tcW w:w="362" w:type="dxa"/>
            <w:shd w:val="clear" w:color="auto" w:fill="auto"/>
          </w:tcPr>
          <w:p w14:paraId="6EA3293C" w14:textId="77777777" w:rsidR="00CD29BD" w:rsidRPr="004870C7" w:rsidRDefault="00CD29BD" w:rsidP="003B2A79">
            <w:pPr>
              <w:rPr>
                <w:szCs w:val="22"/>
              </w:rPr>
            </w:pPr>
          </w:p>
        </w:tc>
        <w:tc>
          <w:tcPr>
            <w:tcW w:w="362" w:type="dxa"/>
            <w:shd w:val="clear" w:color="auto" w:fill="auto"/>
          </w:tcPr>
          <w:p w14:paraId="0471E69A" w14:textId="77777777" w:rsidR="00CD29BD" w:rsidRPr="004870C7" w:rsidRDefault="00CD29BD" w:rsidP="003B2A79">
            <w:pPr>
              <w:rPr>
                <w:szCs w:val="22"/>
              </w:rPr>
            </w:pPr>
          </w:p>
        </w:tc>
        <w:tc>
          <w:tcPr>
            <w:tcW w:w="362" w:type="dxa"/>
            <w:shd w:val="clear" w:color="auto" w:fill="auto"/>
          </w:tcPr>
          <w:p w14:paraId="20A8428B" w14:textId="77777777" w:rsidR="00CD29BD" w:rsidRPr="004870C7" w:rsidRDefault="00CD29BD" w:rsidP="003B2A79">
            <w:pPr>
              <w:rPr>
                <w:szCs w:val="22"/>
              </w:rPr>
            </w:pPr>
          </w:p>
        </w:tc>
        <w:tc>
          <w:tcPr>
            <w:tcW w:w="362" w:type="dxa"/>
            <w:shd w:val="clear" w:color="auto" w:fill="auto"/>
          </w:tcPr>
          <w:p w14:paraId="720D827E" w14:textId="77777777" w:rsidR="00CD29BD" w:rsidRPr="004870C7" w:rsidRDefault="00CD29BD" w:rsidP="003B2A79">
            <w:pPr>
              <w:rPr>
                <w:szCs w:val="22"/>
              </w:rPr>
            </w:pPr>
          </w:p>
        </w:tc>
        <w:tc>
          <w:tcPr>
            <w:tcW w:w="362" w:type="dxa"/>
            <w:shd w:val="clear" w:color="auto" w:fill="auto"/>
          </w:tcPr>
          <w:p w14:paraId="0B541E3A" w14:textId="77777777" w:rsidR="00CD29BD" w:rsidRPr="004870C7" w:rsidRDefault="00CD29BD" w:rsidP="003B2A79">
            <w:pPr>
              <w:rPr>
                <w:szCs w:val="22"/>
              </w:rPr>
            </w:pPr>
          </w:p>
        </w:tc>
        <w:tc>
          <w:tcPr>
            <w:tcW w:w="362" w:type="dxa"/>
            <w:shd w:val="clear" w:color="auto" w:fill="auto"/>
          </w:tcPr>
          <w:p w14:paraId="351853B0" w14:textId="77777777" w:rsidR="00CD29BD" w:rsidRPr="004870C7" w:rsidRDefault="00CD29BD" w:rsidP="003B2A79">
            <w:pPr>
              <w:rPr>
                <w:szCs w:val="22"/>
              </w:rPr>
            </w:pPr>
          </w:p>
        </w:tc>
      </w:tr>
      <w:tr w:rsidR="00CD29BD" w:rsidRPr="004870C7" w14:paraId="6F8A4E62" w14:textId="77777777" w:rsidTr="00E27A50">
        <w:tc>
          <w:tcPr>
            <w:tcW w:w="809" w:type="dxa"/>
            <w:vMerge/>
            <w:vAlign w:val="center"/>
          </w:tcPr>
          <w:p w14:paraId="5CF2E775" w14:textId="5AB13ABC" w:rsidR="00CD29BD" w:rsidRPr="004870C7" w:rsidRDefault="00CD29BD" w:rsidP="003B2A79">
            <w:pPr>
              <w:rPr>
                <w:szCs w:val="22"/>
              </w:rPr>
            </w:pPr>
          </w:p>
        </w:tc>
        <w:tc>
          <w:tcPr>
            <w:tcW w:w="739" w:type="dxa"/>
            <w:vMerge/>
            <w:shd w:val="clear" w:color="auto" w:fill="auto"/>
            <w:vAlign w:val="center"/>
          </w:tcPr>
          <w:p w14:paraId="6DA64912" w14:textId="77777777" w:rsidR="00CD29BD" w:rsidRPr="004870C7" w:rsidRDefault="00CD29BD" w:rsidP="00CE078C">
            <w:pPr>
              <w:jc w:val="center"/>
              <w:rPr>
                <w:szCs w:val="22"/>
              </w:rPr>
            </w:pPr>
          </w:p>
        </w:tc>
        <w:tc>
          <w:tcPr>
            <w:tcW w:w="634" w:type="dxa"/>
          </w:tcPr>
          <w:p w14:paraId="1F4E2D7B" w14:textId="71B009D7" w:rsidR="00CD29BD" w:rsidRPr="004870C7" w:rsidRDefault="00CD29BD" w:rsidP="003B2A79">
            <w:pPr>
              <w:rPr>
                <w:szCs w:val="22"/>
              </w:rPr>
            </w:pPr>
            <w:r w:rsidRPr="004870C7">
              <w:rPr>
                <w:szCs w:val="22"/>
              </w:rPr>
              <w:t>2.1.3</w:t>
            </w:r>
          </w:p>
        </w:tc>
        <w:tc>
          <w:tcPr>
            <w:tcW w:w="362" w:type="dxa"/>
            <w:shd w:val="clear" w:color="auto" w:fill="auto"/>
          </w:tcPr>
          <w:p w14:paraId="15337791" w14:textId="77777777" w:rsidR="00CD29BD" w:rsidRPr="004870C7" w:rsidRDefault="00CD29BD" w:rsidP="003B2A79">
            <w:pPr>
              <w:rPr>
                <w:szCs w:val="22"/>
              </w:rPr>
            </w:pPr>
          </w:p>
        </w:tc>
        <w:tc>
          <w:tcPr>
            <w:tcW w:w="362" w:type="dxa"/>
            <w:shd w:val="clear" w:color="auto" w:fill="auto"/>
          </w:tcPr>
          <w:p w14:paraId="727EABC5" w14:textId="77777777" w:rsidR="00CD29BD" w:rsidRPr="004870C7" w:rsidRDefault="00CD29BD" w:rsidP="003B2A79">
            <w:pPr>
              <w:rPr>
                <w:szCs w:val="22"/>
              </w:rPr>
            </w:pPr>
          </w:p>
        </w:tc>
        <w:tc>
          <w:tcPr>
            <w:tcW w:w="362" w:type="dxa"/>
            <w:shd w:val="clear" w:color="auto" w:fill="auto"/>
          </w:tcPr>
          <w:p w14:paraId="0090AA51" w14:textId="77777777" w:rsidR="00CD29BD" w:rsidRPr="004870C7" w:rsidRDefault="00CD29BD" w:rsidP="003B2A79">
            <w:pPr>
              <w:rPr>
                <w:szCs w:val="22"/>
              </w:rPr>
            </w:pPr>
          </w:p>
        </w:tc>
        <w:tc>
          <w:tcPr>
            <w:tcW w:w="362" w:type="dxa"/>
            <w:shd w:val="clear" w:color="auto" w:fill="auto"/>
          </w:tcPr>
          <w:p w14:paraId="48E2A1BE" w14:textId="77777777" w:rsidR="00CD29BD" w:rsidRPr="004870C7" w:rsidRDefault="00CD29BD" w:rsidP="003B2A79">
            <w:pPr>
              <w:rPr>
                <w:szCs w:val="22"/>
              </w:rPr>
            </w:pPr>
          </w:p>
        </w:tc>
        <w:tc>
          <w:tcPr>
            <w:tcW w:w="362" w:type="dxa"/>
            <w:shd w:val="clear" w:color="auto" w:fill="B4C6E7" w:themeFill="accent1" w:themeFillTint="66"/>
          </w:tcPr>
          <w:p w14:paraId="3963D855" w14:textId="77777777" w:rsidR="00CD29BD" w:rsidRPr="004870C7" w:rsidRDefault="00CD29BD" w:rsidP="003B2A79">
            <w:pPr>
              <w:rPr>
                <w:szCs w:val="22"/>
              </w:rPr>
            </w:pPr>
          </w:p>
        </w:tc>
        <w:tc>
          <w:tcPr>
            <w:tcW w:w="362" w:type="dxa"/>
            <w:shd w:val="clear" w:color="auto" w:fill="B4C6E7" w:themeFill="accent1" w:themeFillTint="66"/>
          </w:tcPr>
          <w:p w14:paraId="466EFFCF" w14:textId="77777777" w:rsidR="00CD29BD" w:rsidRPr="004870C7" w:rsidRDefault="00CD29BD" w:rsidP="003B2A79">
            <w:pPr>
              <w:rPr>
                <w:szCs w:val="22"/>
              </w:rPr>
            </w:pPr>
          </w:p>
        </w:tc>
        <w:tc>
          <w:tcPr>
            <w:tcW w:w="362" w:type="dxa"/>
            <w:shd w:val="clear" w:color="auto" w:fill="B4C6E7" w:themeFill="accent1" w:themeFillTint="66"/>
          </w:tcPr>
          <w:p w14:paraId="2B587441" w14:textId="77777777" w:rsidR="00CD29BD" w:rsidRPr="004870C7" w:rsidRDefault="00CD29BD" w:rsidP="003B2A79">
            <w:pPr>
              <w:rPr>
                <w:szCs w:val="22"/>
              </w:rPr>
            </w:pPr>
          </w:p>
        </w:tc>
        <w:tc>
          <w:tcPr>
            <w:tcW w:w="362" w:type="dxa"/>
            <w:shd w:val="clear" w:color="auto" w:fill="B4C6E7" w:themeFill="accent1" w:themeFillTint="66"/>
          </w:tcPr>
          <w:p w14:paraId="7B70A319" w14:textId="77777777" w:rsidR="00CD29BD" w:rsidRPr="004870C7" w:rsidRDefault="00CD29BD" w:rsidP="003B2A79">
            <w:pPr>
              <w:rPr>
                <w:szCs w:val="22"/>
              </w:rPr>
            </w:pPr>
          </w:p>
        </w:tc>
        <w:tc>
          <w:tcPr>
            <w:tcW w:w="362" w:type="dxa"/>
            <w:shd w:val="clear" w:color="auto" w:fill="B4C6E7" w:themeFill="accent1" w:themeFillTint="66"/>
          </w:tcPr>
          <w:p w14:paraId="2B2DECD8" w14:textId="77777777" w:rsidR="00CD29BD" w:rsidRPr="004870C7" w:rsidRDefault="00CD29BD" w:rsidP="003B2A79">
            <w:pPr>
              <w:rPr>
                <w:szCs w:val="22"/>
              </w:rPr>
            </w:pPr>
          </w:p>
        </w:tc>
        <w:tc>
          <w:tcPr>
            <w:tcW w:w="362" w:type="dxa"/>
            <w:shd w:val="clear" w:color="auto" w:fill="B4C6E7" w:themeFill="accent1" w:themeFillTint="66"/>
          </w:tcPr>
          <w:p w14:paraId="1BE3F090" w14:textId="77777777" w:rsidR="00CD29BD" w:rsidRPr="004870C7" w:rsidRDefault="00CD29BD" w:rsidP="003B2A79">
            <w:pPr>
              <w:rPr>
                <w:szCs w:val="22"/>
              </w:rPr>
            </w:pPr>
          </w:p>
        </w:tc>
        <w:tc>
          <w:tcPr>
            <w:tcW w:w="362" w:type="dxa"/>
            <w:shd w:val="clear" w:color="auto" w:fill="B4C6E7" w:themeFill="accent1" w:themeFillTint="66"/>
          </w:tcPr>
          <w:p w14:paraId="129092D7" w14:textId="77777777" w:rsidR="00CD29BD" w:rsidRPr="004870C7" w:rsidRDefault="00CD29BD" w:rsidP="003B2A79">
            <w:pPr>
              <w:rPr>
                <w:szCs w:val="22"/>
              </w:rPr>
            </w:pPr>
          </w:p>
        </w:tc>
        <w:tc>
          <w:tcPr>
            <w:tcW w:w="362" w:type="dxa"/>
            <w:shd w:val="clear" w:color="auto" w:fill="B4C6E7" w:themeFill="accent1" w:themeFillTint="66"/>
          </w:tcPr>
          <w:p w14:paraId="4F5E035E" w14:textId="77777777" w:rsidR="00CD29BD" w:rsidRPr="004870C7" w:rsidRDefault="00CD29BD" w:rsidP="003B2A79">
            <w:pPr>
              <w:rPr>
                <w:szCs w:val="22"/>
              </w:rPr>
            </w:pPr>
          </w:p>
        </w:tc>
        <w:tc>
          <w:tcPr>
            <w:tcW w:w="362" w:type="dxa"/>
            <w:shd w:val="clear" w:color="auto" w:fill="FFFFFF" w:themeFill="background1"/>
          </w:tcPr>
          <w:p w14:paraId="64B40F01" w14:textId="77777777" w:rsidR="00CD29BD" w:rsidRPr="004870C7" w:rsidRDefault="00CD29BD" w:rsidP="003B2A79">
            <w:pPr>
              <w:rPr>
                <w:szCs w:val="22"/>
              </w:rPr>
            </w:pPr>
          </w:p>
        </w:tc>
        <w:tc>
          <w:tcPr>
            <w:tcW w:w="362" w:type="dxa"/>
            <w:shd w:val="clear" w:color="auto" w:fill="auto"/>
          </w:tcPr>
          <w:p w14:paraId="6AB07BBE" w14:textId="77777777" w:rsidR="00CD29BD" w:rsidRPr="004870C7" w:rsidRDefault="00CD29BD" w:rsidP="003B2A79">
            <w:pPr>
              <w:rPr>
                <w:szCs w:val="22"/>
              </w:rPr>
            </w:pPr>
          </w:p>
        </w:tc>
        <w:tc>
          <w:tcPr>
            <w:tcW w:w="362" w:type="dxa"/>
            <w:shd w:val="clear" w:color="auto" w:fill="auto"/>
          </w:tcPr>
          <w:p w14:paraId="0F8814D3" w14:textId="77777777" w:rsidR="00CD29BD" w:rsidRPr="004870C7" w:rsidRDefault="00CD29BD" w:rsidP="003B2A79">
            <w:pPr>
              <w:rPr>
                <w:szCs w:val="22"/>
              </w:rPr>
            </w:pPr>
          </w:p>
        </w:tc>
        <w:tc>
          <w:tcPr>
            <w:tcW w:w="362" w:type="dxa"/>
            <w:shd w:val="clear" w:color="auto" w:fill="auto"/>
          </w:tcPr>
          <w:p w14:paraId="72938C3C" w14:textId="77777777" w:rsidR="00CD29BD" w:rsidRPr="004870C7" w:rsidRDefault="00CD29BD" w:rsidP="003B2A79">
            <w:pPr>
              <w:rPr>
                <w:szCs w:val="22"/>
              </w:rPr>
            </w:pPr>
          </w:p>
        </w:tc>
        <w:tc>
          <w:tcPr>
            <w:tcW w:w="362" w:type="dxa"/>
            <w:shd w:val="clear" w:color="auto" w:fill="auto"/>
          </w:tcPr>
          <w:p w14:paraId="2177D2BC" w14:textId="77777777" w:rsidR="00CD29BD" w:rsidRPr="004870C7" w:rsidRDefault="00CD29BD" w:rsidP="003B2A79">
            <w:pPr>
              <w:rPr>
                <w:szCs w:val="22"/>
              </w:rPr>
            </w:pPr>
          </w:p>
        </w:tc>
        <w:tc>
          <w:tcPr>
            <w:tcW w:w="362" w:type="dxa"/>
            <w:shd w:val="clear" w:color="auto" w:fill="auto"/>
          </w:tcPr>
          <w:p w14:paraId="0CDC305F" w14:textId="77777777" w:rsidR="00CD29BD" w:rsidRPr="004870C7" w:rsidRDefault="00CD29BD" w:rsidP="003B2A79">
            <w:pPr>
              <w:rPr>
                <w:szCs w:val="22"/>
              </w:rPr>
            </w:pPr>
          </w:p>
        </w:tc>
        <w:tc>
          <w:tcPr>
            <w:tcW w:w="362" w:type="dxa"/>
            <w:shd w:val="clear" w:color="auto" w:fill="auto"/>
          </w:tcPr>
          <w:p w14:paraId="76385738" w14:textId="77777777" w:rsidR="00CD29BD" w:rsidRPr="004870C7" w:rsidRDefault="00CD29BD" w:rsidP="003B2A79">
            <w:pPr>
              <w:rPr>
                <w:szCs w:val="22"/>
              </w:rPr>
            </w:pPr>
          </w:p>
        </w:tc>
        <w:tc>
          <w:tcPr>
            <w:tcW w:w="362" w:type="dxa"/>
            <w:shd w:val="clear" w:color="auto" w:fill="auto"/>
          </w:tcPr>
          <w:p w14:paraId="6A76EDB6" w14:textId="77777777" w:rsidR="00CD29BD" w:rsidRPr="004870C7" w:rsidRDefault="00CD29BD" w:rsidP="003B2A79">
            <w:pPr>
              <w:rPr>
                <w:szCs w:val="22"/>
              </w:rPr>
            </w:pPr>
          </w:p>
        </w:tc>
      </w:tr>
      <w:tr w:rsidR="00CD29BD" w:rsidRPr="004870C7" w14:paraId="49B2A859" w14:textId="77777777" w:rsidTr="00E27A50">
        <w:tc>
          <w:tcPr>
            <w:tcW w:w="809" w:type="dxa"/>
            <w:vMerge/>
            <w:vAlign w:val="center"/>
          </w:tcPr>
          <w:p w14:paraId="67C13C21" w14:textId="77777777" w:rsidR="00CD29BD" w:rsidRPr="004870C7" w:rsidRDefault="00CD29BD" w:rsidP="003B2A79">
            <w:pPr>
              <w:rPr>
                <w:szCs w:val="22"/>
              </w:rPr>
            </w:pPr>
          </w:p>
        </w:tc>
        <w:tc>
          <w:tcPr>
            <w:tcW w:w="739" w:type="dxa"/>
            <w:vMerge/>
            <w:shd w:val="clear" w:color="auto" w:fill="auto"/>
            <w:vAlign w:val="center"/>
          </w:tcPr>
          <w:p w14:paraId="7B2CB9C4" w14:textId="77777777" w:rsidR="00CD29BD" w:rsidRPr="004870C7" w:rsidRDefault="00CD29BD" w:rsidP="00CE078C">
            <w:pPr>
              <w:jc w:val="center"/>
              <w:rPr>
                <w:szCs w:val="22"/>
              </w:rPr>
            </w:pPr>
          </w:p>
        </w:tc>
        <w:tc>
          <w:tcPr>
            <w:tcW w:w="634" w:type="dxa"/>
          </w:tcPr>
          <w:p w14:paraId="7DDF9719" w14:textId="484A0649" w:rsidR="00CD29BD" w:rsidRPr="004870C7" w:rsidRDefault="00CD29BD" w:rsidP="003B2A79">
            <w:pPr>
              <w:rPr>
                <w:szCs w:val="22"/>
              </w:rPr>
            </w:pPr>
            <w:r w:rsidRPr="004870C7">
              <w:rPr>
                <w:szCs w:val="22"/>
              </w:rPr>
              <w:t>2.1.4</w:t>
            </w:r>
          </w:p>
        </w:tc>
        <w:tc>
          <w:tcPr>
            <w:tcW w:w="362" w:type="dxa"/>
            <w:shd w:val="clear" w:color="auto" w:fill="auto"/>
          </w:tcPr>
          <w:p w14:paraId="05B4A6E0" w14:textId="77777777" w:rsidR="00CD29BD" w:rsidRPr="004870C7" w:rsidRDefault="00CD29BD" w:rsidP="003B2A79">
            <w:pPr>
              <w:rPr>
                <w:szCs w:val="22"/>
              </w:rPr>
            </w:pPr>
          </w:p>
        </w:tc>
        <w:tc>
          <w:tcPr>
            <w:tcW w:w="362" w:type="dxa"/>
            <w:shd w:val="clear" w:color="auto" w:fill="auto"/>
          </w:tcPr>
          <w:p w14:paraId="7E729E89" w14:textId="77777777" w:rsidR="00CD29BD" w:rsidRPr="004870C7" w:rsidRDefault="00CD29BD" w:rsidP="003B2A79">
            <w:pPr>
              <w:rPr>
                <w:szCs w:val="22"/>
              </w:rPr>
            </w:pPr>
          </w:p>
        </w:tc>
        <w:tc>
          <w:tcPr>
            <w:tcW w:w="362" w:type="dxa"/>
            <w:shd w:val="clear" w:color="auto" w:fill="auto"/>
          </w:tcPr>
          <w:p w14:paraId="0E38F2B2" w14:textId="77777777" w:rsidR="00CD29BD" w:rsidRPr="004870C7" w:rsidRDefault="00CD29BD" w:rsidP="003B2A79">
            <w:pPr>
              <w:rPr>
                <w:szCs w:val="22"/>
              </w:rPr>
            </w:pPr>
          </w:p>
        </w:tc>
        <w:tc>
          <w:tcPr>
            <w:tcW w:w="362" w:type="dxa"/>
            <w:shd w:val="clear" w:color="auto" w:fill="auto"/>
          </w:tcPr>
          <w:p w14:paraId="39C35322" w14:textId="77777777" w:rsidR="00CD29BD" w:rsidRPr="004870C7" w:rsidRDefault="00CD29BD" w:rsidP="003B2A79">
            <w:pPr>
              <w:rPr>
                <w:szCs w:val="22"/>
              </w:rPr>
            </w:pPr>
          </w:p>
        </w:tc>
        <w:tc>
          <w:tcPr>
            <w:tcW w:w="362" w:type="dxa"/>
            <w:shd w:val="clear" w:color="auto" w:fill="FFFFFF" w:themeFill="background1"/>
          </w:tcPr>
          <w:p w14:paraId="1559093C" w14:textId="77777777" w:rsidR="00CD29BD" w:rsidRPr="004870C7" w:rsidRDefault="00CD29BD" w:rsidP="003B2A79">
            <w:pPr>
              <w:rPr>
                <w:szCs w:val="22"/>
              </w:rPr>
            </w:pPr>
          </w:p>
        </w:tc>
        <w:tc>
          <w:tcPr>
            <w:tcW w:w="362" w:type="dxa"/>
            <w:shd w:val="clear" w:color="auto" w:fill="FFFFFF" w:themeFill="background1"/>
          </w:tcPr>
          <w:p w14:paraId="13C3FA06" w14:textId="77777777" w:rsidR="00CD29BD" w:rsidRPr="004870C7" w:rsidRDefault="00CD29BD" w:rsidP="003B2A79">
            <w:pPr>
              <w:rPr>
                <w:szCs w:val="22"/>
              </w:rPr>
            </w:pPr>
          </w:p>
        </w:tc>
        <w:tc>
          <w:tcPr>
            <w:tcW w:w="362" w:type="dxa"/>
            <w:shd w:val="clear" w:color="auto" w:fill="FFFFFF" w:themeFill="background1"/>
          </w:tcPr>
          <w:p w14:paraId="605B66A2" w14:textId="77777777" w:rsidR="00CD29BD" w:rsidRPr="004870C7" w:rsidRDefault="00CD29BD" w:rsidP="003B2A79">
            <w:pPr>
              <w:rPr>
                <w:szCs w:val="22"/>
              </w:rPr>
            </w:pPr>
          </w:p>
        </w:tc>
        <w:tc>
          <w:tcPr>
            <w:tcW w:w="362" w:type="dxa"/>
            <w:shd w:val="clear" w:color="auto" w:fill="FFFFFF" w:themeFill="background1"/>
          </w:tcPr>
          <w:p w14:paraId="2D7D465F" w14:textId="77777777" w:rsidR="00CD29BD" w:rsidRPr="004870C7" w:rsidRDefault="00CD29BD" w:rsidP="003B2A79">
            <w:pPr>
              <w:rPr>
                <w:szCs w:val="22"/>
              </w:rPr>
            </w:pPr>
          </w:p>
        </w:tc>
        <w:tc>
          <w:tcPr>
            <w:tcW w:w="362" w:type="dxa"/>
            <w:shd w:val="clear" w:color="auto" w:fill="B4C6E7" w:themeFill="accent1" w:themeFillTint="66"/>
          </w:tcPr>
          <w:p w14:paraId="3A01651B" w14:textId="77777777" w:rsidR="00CD29BD" w:rsidRPr="004870C7" w:rsidRDefault="00CD29BD" w:rsidP="003B2A79">
            <w:pPr>
              <w:rPr>
                <w:szCs w:val="22"/>
              </w:rPr>
            </w:pPr>
          </w:p>
        </w:tc>
        <w:tc>
          <w:tcPr>
            <w:tcW w:w="362" w:type="dxa"/>
            <w:shd w:val="clear" w:color="auto" w:fill="B4C6E7" w:themeFill="accent1" w:themeFillTint="66"/>
          </w:tcPr>
          <w:p w14:paraId="6290984B" w14:textId="77777777" w:rsidR="00CD29BD" w:rsidRPr="004870C7" w:rsidRDefault="00CD29BD" w:rsidP="003B2A79">
            <w:pPr>
              <w:rPr>
                <w:szCs w:val="22"/>
              </w:rPr>
            </w:pPr>
          </w:p>
        </w:tc>
        <w:tc>
          <w:tcPr>
            <w:tcW w:w="362" w:type="dxa"/>
            <w:shd w:val="clear" w:color="auto" w:fill="B4C6E7" w:themeFill="accent1" w:themeFillTint="66"/>
          </w:tcPr>
          <w:p w14:paraId="602F6D21" w14:textId="77777777" w:rsidR="00CD29BD" w:rsidRPr="004870C7" w:rsidRDefault="00CD29BD" w:rsidP="003B2A79">
            <w:pPr>
              <w:rPr>
                <w:szCs w:val="22"/>
              </w:rPr>
            </w:pPr>
          </w:p>
        </w:tc>
        <w:tc>
          <w:tcPr>
            <w:tcW w:w="362" w:type="dxa"/>
            <w:shd w:val="clear" w:color="auto" w:fill="B4C6E7" w:themeFill="accent1" w:themeFillTint="66"/>
          </w:tcPr>
          <w:p w14:paraId="167A7CCF" w14:textId="77777777" w:rsidR="00CD29BD" w:rsidRPr="004870C7" w:rsidRDefault="00CD29BD" w:rsidP="003B2A79">
            <w:pPr>
              <w:rPr>
                <w:szCs w:val="22"/>
              </w:rPr>
            </w:pPr>
          </w:p>
        </w:tc>
        <w:tc>
          <w:tcPr>
            <w:tcW w:w="362" w:type="dxa"/>
            <w:shd w:val="clear" w:color="auto" w:fill="FFFFFF" w:themeFill="background1"/>
          </w:tcPr>
          <w:p w14:paraId="7412C14D" w14:textId="77777777" w:rsidR="00CD29BD" w:rsidRPr="004870C7" w:rsidRDefault="00CD29BD" w:rsidP="003B2A79">
            <w:pPr>
              <w:rPr>
                <w:szCs w:val="22"/>
              </w:rPr>
            </w:pPr>
          </w:p>
        </w:tc>
        <w:tc>
          <w:tcPr>
            <w:tcW w:w="362" w:type="dxa"/>
            <w:shd w:val="clear" w:color="auto" w:fill="auto"/>
          </w:tcPr>
          <w:p w14:paraId="0E8E9858" w14:textId="77777777" w:rsidR="00CD29BD" w:rsidRPr="004870C7" w:rsidRDefault="00CD29BD" w:rsidP="003B2A79">
            <w:pPr>
              <w:rPr>
                <w:szCs w:val="22"/>
              </w:rPr>
            </w:pPr>
          </w:p>
        </w:tc>
        <w:tc>
          <w:tcPr>
            <w:tcW w:w="362" w:type="dxa"/>
            <w:shd w:val="clear" w:color="auto" w:fill="auto"/>
          </w:tcPr>
          <w:p w14:paraId="0F7714B4" w14:textId="77777777" w:rsidR="00CD29BD" w:rsidRPr="004870C7" w:rsidRDefault="00CD29BD" w:rsidP="003B2A79">
            <w:pPr>
              <w:rPr>
                <w:szCs w:val="22"/>
              </w:rPr>
            </w:pPr>
          </w:p>
        </w:tc>
        <w:tc>
          <w:tcPr>
            <w:tcW w:w="362" w:type="dxa"/>
            <w:shd w:val="clear" w:color="auto" w:fill="auto"/>
          </w:tcPr>
          <w:p w14:paraId="666201B9" w14:textId="77777777" w:rsidR="00CD29BD" w:rsidRPr="004870C7" w:rsidRDefault="00CD29BD" w:rsidP="003B2A79">
            <w:pPr>
              <w:rPr>
                <w:szCs w:val="22"/>
              </w:rPr>
            </w:pPr>
          </w:p>
        </w:tc>
        <w:tc>
          <w:tcPr>
            <w:tcW w:w="362" w:type="dxa"/>
            <w:shd w:val="clear" w:color="auto" w:fill="auto"/>
          </w:tcPr>
          <w:p w14:paraId="58E90939" w14:textId="77777777" w:rsidR="00CD29BD" w:rsidRPr="004870C7" w:rsidRDefault="00CD29BD" w:rsidP="003B2A79">
            <w:pPr>
              <w:rPr>
                <w:szCs w:val="22"/>
              </w:rPr>
            </w:pPr>
          </w:p>
        </w:tc>
        <w:tc>
          <w:tcPr>
            <w:tcW w:w="362" w:type="dxa"/>
            <w:shd w:val="clear" w:color="auto" w:fill="auto"/>
          </w:tcPr>
          <w:p w14:paraId="7F13A293" w14:textId="77777777" w:rsidR="00CD29BD" w:rsidRPr="004870C7" w:rsidRDefault="00CD29BD" w:rsidP="003B2A79">
            <w:pPr>
              <w:rPr>
                <w:szCs w:val="22"/>
              </w:rPr>
            </w:pPr>
          </w:p>
        </w:tc>
        <w:tc>
          <w:tcPr>
            <w:tcW w:w="362" w:type="dxa"/>
            <w:shd w:val="clear" w:color="auto" w:fill="auto"/>
          </w:tcPr>
          <w:p w14:paraId="2F50DD8F" w14:textId="77777777" w:rsidR="00CD29BD" w:rsidRPr="004870C7" w:rsidRDefault="00CD29BD" w:rsidP="003B2A79">
            <w:pPr>
              <w:rPr>
                <w:szCs w:val="22"/>
              </w:rPr>
            </w:pPr>
          </w:p>
        </w:tc>
        <w:tc>
          <w:tcPr>
            <w:tcW w:w="362" w:type="dxa"/>
            <w:shd w:val="clear" w:color="auto" w:fill="auto"/>
          </w:tcPr>
          <w:p w14:paraId="4C50900A" w14:textId="77777777" w:rsidR="00CD29BD" w:rsidRPr="004870C7" w:rsidRDefault="00CD29BD" w:rsidP="003B2A79">
            <w:pPr>
              <w:rPr>
                <w:szCs w:val="22"/>
              </w:rPr>
            </w:pPr>
          </w:p>
        </w:tc>
      </w:tr>
      <w:tr w:rsidR="00CD29BD" w:rsidRPr="004870C7" w14:paraId="73A4692F" w14:textId="77777777" w:rsidTr="00E27A50">
        <w:tc>
          <w:tcPr>
            <w:tcW w:w="809" w:type="dxa"/>
            <w:vMerge/>
            <w:vAlign w:val="center"/>
          </w:tcPr>
          <w:p w14:paraId="145BDFFE" w14:textId="77777777" w:rsidR="00CD29BD" w:rsidRPr="004870C7" w:rsidRDefault="00CD29BD" w:rsidP="003B2A79">
            <w:pPr>
              <w:rPr>
                <w:szCs w:val="22"/>
              </w:rPr>
            </w:pPr>
          </w:p>
        </w:tc>
        <w:tc>
          <w:tcPr>
            <w:tcW w:w="739" w:type="dxa"/>
            <w:vMerge w:val="restart"/>
            <w:shd w:val="clear" w:color="auto" w:fill="auto"/>
            <w:vAlign w:val="center"/>
          </w:tcPr>
          <w:p w14:paraId="23ACDB5B" w14:textId="40B8BA95" w:rsidR="00CD29BD" w:rsidRPr="004870C7" w:rsidRDefault="00CD29BD" w:rsidP="00CE078C">
            <w:pPr>
              <w:jc w:val="center"/>
              <w:rPr>
                <w:szCs w:val="22"/>
              </w:rPr>
            </w:pPr>
            <w:r w:rsidRPr="004870C7">
              <w:rPr>
                <w:szCs w:val="22"/>
              </w:rPr>
              <w:t>2.2</w:t>
            </w:r>
          </w:p>
        </w:tc>
        <w:tc>
          <w:tcPr>
            <w:tcW w:w="634" w:type="dxa"/>
          </w:tcPr>
          <w:p w14:paraId="396801DC" w14:textId="43913123" w:rsidR="00CD29BD" w:rsidRPr="004870C7" w:rsidRDefault="00CD29BD" w:rsidP="003B2A79">
            <w:pPr>
              <w:rPr>
                <w:szCs w:val="22"/>
              </w:rPr>
            </w:pPr>
            <w:r w:rsidRPr="004870C7">
              <w:rPr>
                <w:szCs w:val="22"/>
              </w:rPr>
              <w:t>2.2.1</w:t>
            </w:r>
          </w:p>
        </w:tc>
        <w:tc>
          <w:tcPr>
            <w:tcW w:w="362" w:type="dxa"/>
            <w:shd w:val="clear" w:color="auto" w:fill="auto"/>
          </w:tcPr>
          <w:p w14:paraId="661C198E" w14:textId="77777777" w:rsidR="00CD29BD" w:rsidRPr="004870C7" w:rsidRDefault="00CD29BD" w:rsidP="003B2A79">
            <w:pPr>
              <w:rPr>
                <w:szCs w:val="22"/>
              </w:rPr>
            </w:pPr>
          </w:p>
        </w:tc>
        <w:tc>
          <w:tcPr>
            <w:tcW w:w="362" w:type="dxa"/>
            <w:shd w:val="clear" w:color="auto" w:fill="auto"/>
          </w:tcPr>
          <w:p w14:paraId="5F0D451C" w14:textId="77777777" w:rsidR="00CD29BD" w:rsidRPr="004870C7" w:rsidRDefault="00CD29BD" w:rsidP="003B2A79">
            <w:pPr>
              <w:rPr>
                <w:szCs w:val="22"/>
              </w:rPr>
            </w:pPr>
          </w:p>
        </w:tc>
        <w:tc>
          <w:tcPr>
            <w:tcW w:w="362" w:type="dxa"/>
            <w:shd w:val="clear" w:color="auto" w:fill="auto"/>
          </w:tcPr>
          <w:p w14:paraId="1B212BED" w14:textId="77777777" w:rsidR="00CD29BD" w:rsidRPr="004870C7" w:rsidRDefault="00CD29BD" w:rsidP="003B2A79">
            <w:pPr>
              <w:rPr>
                <w:szCs w:val="22"/>
              </w:rPr>
            </w:pPr>
          </w:p>
        </w:tc>
        <w:tc>
          <w:tcPr>
            <w:tcW w:w="362" w:type="dxa"/>
            <w:shd w:val="clear" w:color="auto" w:fill="auto"/>
          </w:tcPr>
          <w:p w14:paraId="629ED406" w14:textId="77777777" w:rsidR="00CD29BD" w:rsidRPr="004870C7" w:rsidRDefault="00CD29BD" w:rsidP="003B2A79">
            <w:pPr>
              <w:rPr>
                <w:szCs w:val="22"/>
              </w:rPr>
            </w:pPr>
          </w:p>
        </w:tc>
        <w:tc>
          <w:tcPr>
            <w:tcW w:w="362" w:type="dxa"/>
            <w:shd w:val="clear" w:color="auto" w:fill="B4C6E7" w:themeFill="accent1" w:themeFillTint="66"/>
          </w:tcPr>
          <w:p w14:paraId="0238DB7A" w14:textId="77777777" w:rsidR="00CD29BD" w:rsidRPr="004870C7" w:rsidRDefault="00CD29BD" w:rsidP="003B2A79">
            <w:pPr>
              <w:rPr>
                <w:szCs w:val="22"/>
              </w:rPr>
            </w:pPr>
          </w:p>
        </w:tc>
        <w:tc>
          <w:tcPr>
            <w:tcW w:w="362" w:type="dxa"/>
            <w:shd w:val="clear" w:color="auto" w:fill="B4C6E7" w:themeFill="accent1" w:themeFillTint="66"/>
          </w:tcPr>
          <w:p w14:paraId="5A487D02" w14:textId="77777777" w:rsidR="00CD29BD" w:rsidRPr="004870C7" w:rsidRDefault="00CD29BD" w:rsidP="003B2A79">
            <w:pPr>
              <w:rPr>
                <w:szCs w:val="22"/>
              </w:rPr>
            </w:pPr>
          </w:p>
        </w:tc>
        <w:tc>
          <w:tcPr>
            <w:tcW w:w="362" w:type="dxa"/>
            <w:shd w:val="clear" w:color="auto" w:fill="B4C6E7" w:themeFill="accent1" w:themeFillTint="66"/>
          </w:tcPr>
          <w:p w14:paraId="29F09D95" w14:textId="77777777" w:rsidR="00CD29BD" w:rsidRPr="004870C7" w:rsidRDefault="00CD29BD" w:rsidP="003B2A79">
            <w:pPr>
              <w:rPr>
                <w:szCs w:val="22"/>
              </w:rPr>
            </w:pPr>
          </w:p>
        </w:tc>
        <w:tc>
          <w:tcPr>
            <w:tcW w:w="362" w:type="dxa"/>
            <w:shd w:val="clear" w:color="auto" w:fill="B4C6E7" w:themeFill="accent1" w:themeFillTint="66"/>
          </w:tcPr>
          <w:p w14:paraId="0EDA1E2C" w14:textId="77777777" w:rsidR="00CD29BD" w:rsidRPr="004870C7" w:rsidRDefault="00CD29BD" w:rsidP="003B2A79">
            <w:pPr>
              <w:rPr>
                <w:szCs w:val="22"/>
              </w:rPr>
            </w:pPr>
          </w:p>
        </w:tc>
        <w:tc>
          <w:tcPr>
            <w:tcW w:w="362" w:type="dxa"/>
            <w:shd w:val="clear" w:color="auto" w:fill="B4C6E7" w:themeFill="accent1" w:themeFillTint="66"/>
          </w:tcPr>
          <w:p w14:paraId="60C42492" w14:textId="77777777" w:rsidR="00CD29BD" w:rsidRPr="004870C7" w:rsidRDefault="00CD29BD" w:rsidP="003B2A79">
            <w:pPr>
              <w:rPr>
                <w:szCs w:val="22"/>
              </w:rPr>
            </w:pPr>
          </w:p>
        </w:tc>
        <w:tc>
          <w:tcPr>
            <w:tcW w:w="362" w:type="dxa"/>
            <w:shd w:val="clear" w:color="auto" w:fill="B4C6E7" w:themeFill="accent1" w:themeFillTint="66"/>
          </w:tcPr>
          <w:p w14:paraId="5FBBE3C8" w14:textId="77777777" w:rsidR="00CD29BD" w:rsidRPr="004870C7" w:rsidRDefault="00CD29BD" w:rsidP="003B2A79">
            <w:pPr>
              <w:rPr>
                <w:szCs w:val="22"/>
              </w:rPr>
            </w:pPr>
          </w:p>
        </w:tc>
        <w:tc>
          <w:tcPr>
            <w:tcW w:w="362" w:type="dxa"/>
            <w:shd w:val="clear" w:color="auto" w:fill="B4C6E7" w:themeFill="accent1" w:themeFillTint="66"/>
          </w:tcPr>
          <w:p w14:paraId="461E5B54" w14:textId="77777777" w:rsidR="00CD29BD" w:rsidRPr="004870C7" w:rsidRDefault="00CD29BD" w:rsidP="003B2A79">
            <w:pPr>
              <w:rPr>
                <w:szCs w:val="22"/>
              </w:rPr>
            </w:pPr>
          </w:p>
        </w:tc>
        <w:tc>
          <w:tcPr>
            <w:tcW w:w="362" w:type="dxa"/>
            <w:shd w:val="clear" w:color="auto" w:fill="B4C6E7" w:themeFill="accent1" w:themeFillTint="66"/>
          </w:tcPr>
          <w:p w14:paraId="15A28008" w14:textId="77777777" w:rsidR="00CD29BD" w:rsidRPr="004870C7" w:rsidRDefault="00CD29BD" w:rsidP="003B2A79">
            <w:pPr>
              <w:rPr>
                <w:szCs w:val="22"/>
              </w:rPr>
            </w:pPr>
          </w:p>
        </w:tc>
        <w:tc>
          <w:tcPr>
            <w:tcW w:w="362" w:type="dxa"/>
            <w:shd w:val="clear" w:color="auto" w:fill="FFFFFF" w:themeFill="background1"/>
          </w:tcPr>
          <w:p w14:paraId="16167692" w14:textId="77777777" w:rsidR="00CD29BD" w:rsidRPr="004870C7" w:rsidRDefault="00CD29BD" w:rsidP="003B2A79">
            <w:pPr>
              <w:rPr>
                <w:szCs w:val="22"/>
              </w:rPr>
            </w:pPr>
          </w:p>
        </w:tc>
        <w:tc>
          <w:tcPr>
            <w:tcW w:w="362" w:type="dxa"/>
            <w:shd w:val="clear" w:color="auto" w:fill="auto"/>
          </w:tcPr>
          <w:p w14:paraId="76CF7356" w14:textId="77777777" w:rsidR="00CD29BD" w:rsidRPr="004870C7" w:rsidRDefault="00CD29BD" w:rsidP="003B2A79">
            <w:pPr>
              <w:rPr>
                <w:szCs w:val="22"/>
              </w:rPr>
            </w:pPr>
          </w:p>
        </w:tc>
        <w:tc>
          <w:tcPr>
            <w:tcW w:w="362" w:type="dxa"/>
            <w:shd w:val="clear" w:color="auto" w:fill="auto"/>
          </w:tcPr>
          <w:p w14:paraId="0F88A235" w14:textId="77777777" w:rsidR="00CD29BD" w:rsidRPr="004870C7" w:rsidRDefault="00CD29BD" w:rsidP="003B2A79">
            <w:pPr>
              <w:rPr>
                <w:szCs w:val="22"/>
              </w:rPr>
            </w:pPr>
          </w:p>
        </w:tc>
        <w:tc>
          <w:tcPr>
            <w:tcW w:w="362" w:type="dxa"/>
            <w:shd w:val="clear" w:color="auto" w:fill="auto"/>
          </w:tcPr>
          <w:p w14:paraId="07C37764" w14:textId="77777777" w:rsidR="00CD29BD" w:rsidRPr="004870C7" w:rsidRDefault="00CD29BD" w:rsidP="003B2A79">
            <w:pPr>
              <w:rPr>
                <w:szCs w:val="22"/>
              </w:rPr>
            </w:pPr>
          </w:p>
        </w:tc>
        <w:tc>
          <w:tcPr>
            <w:tcW w:w="362" w:type="dxa"/>
            <w:shd w:val="clear" w:color="auto" w:fill="auto"/>
          </w:tcPr>
          <w:p w14:paraId="70C7EA47" w14:textId="77777777" w:rsidR="00CD29BD" w:rsidRPr="004870C7" w:rsidRDefault="00CD29BD" w:rsidP="003B2A79">
            <w:pPr>
              <w:rPr>
                <w:szCs w:val="22"/>
              </w:rPr>
            </w:pPr>
          </w:p>
        </w:tc>
        <w:tc>
          <w:tcPr>
            <w:tcW w:w="362" w:type="dxa"/>
            <w:shd w:val="clear" w:color="auto" w:fill="auto"/>
          </w:tcPr>
          <w:p w14:paraId="4073936A" w14:textId="77777777" w:rsidR="00CD29BD" w:rsidRPr="004870C7" w:rsidRDefault="00CD29BD" w:rsidP="003B2A79">
            <w:pPr>
              <w:rPr>
                <w:szCs w:val="22"/>
              </w:rPr>
            </w:pPr>
          </w:p>
        </w:tc>
        <w:tc>
          <w:tcPr>
            <w:tcW w:w="362" w:type="dxa"/>
            <w:shd w:val="clear" w:color="auto" w:fill="auto"/>
          </w:tcPr>
          <w:p w14:paraId="2CEB1975" w14:textId="77777777" w:rsidR="00CD29BD" w:rsidRPr="004870C7" w:rsidRDefault="00CD29BD" w:rsidP="003B2A79">
            <w:pPr>
              <w:rPr>
                <w:szCs w:val="22"/>
              </w:rPr>
            </w:pPr>
          </w:p>
        </w:tc>
        <w:tc>
          <w:tcPr>
            <w:tcW w:w="362" w:type="dxa"/>
            <w:shd w:val="clear" w:color="auto" w:fill="auto"/>
          </w:tcPr>
          <w:p w14:paraId="523C7013" w14:textId="77777777" w:rsidR="00CD29BD" w:rsidRPr="004870C7" w:rsidRDefault="00CD29BD" w:rsidP="003B2A79">
            <w:pPr>
              <w:rPr>
                <w:szCs w:val="22"/>
              </w:rPr>
            </w:pPr>
          </w:p>
        </w:tc>
      </w:tr>
      <w:tr w:rsidR="00CD29BD" w:rsidRPr="004870C7" w14:paraId="61470933" w14:textId="77777777" w:rsidTr="00E27A50">
        <w:tc>
          <w:tcPr>
            <w:tcW w:w="809" w:type="dxa"/>
            <w:vMerge/>
            <w:vAlign w:val="center"/>
          </w:tcPr>
          <w:p w14:paraId="734EFE61" w14:textId="77777777" w:rsidR="00CD29BD" w:rsidRPr="004870C7" w:rsidRDefault="00CD29BD" w:rsidP="003B2A79">
            <w:pPr>
              <w:rPr>
                <w:szCs w:val="22"/>
              </w:rPr>
            </w:pPr>
          </w:p>
        </w:tc>
        <w:tc>
          <w:tcPr>
            <w:tcW w:w="739" w:type="dxa"/>
            <w:vMerge/>
            <w:shd w:val="clear" w:color="auto" w:fill="auto"/>
            <w:vAlign w:val="center"/>
          </w:tcPr>
          <w:p w14:paraId="3881C028" w14:textId="77777777" w:rsidR="00CD29BD" w:rsidRPr="004870C7" w:rsidRDefault="00CD29BD" w:rsidP="00CE078C">
            <w:pPr>
              <w:jc w:val="center"/>
              <w:rPr>
                <w:szCs w:val="22"/>
              </w:rPr>
            </w:pPr>
          </w:p>
        </w:tc>
        <w:tc>
          <w:tcPr>
            <w:tcW w:w="634" w:type="dxa"/>
          </w:tcPr>
          <w:p w14:paraId="64B58E2E" w14:textId="1EC64059" w:rsidR="00CD29BD" w:rsidRPr="004870C7" w:rsidRDefault="00CD29BD" w:rsidP="003B2A79">
            <w:pPr>
              <w:rPr>
                <w:szCs w:val="22"/>
              </w:rPr>
            </w:pPr>
            <w:r w:rsidRPr="004870C7">
              <w:rPr>
                <w:szCs w:val="22"/>
              </w:rPr>
              <w:t>2.2.2</w:t>
            </w:r>
          </w:p>
        </w:tc>
        <w:tc>
          <w:tcPr>
            <w:tcW w:w="362" w:type="dxa"/>
            <w:shd w:val="clear" w:color="auto" w:fill="auto"/>
          </w:tcPr>
          <w:p w14:paraId="241C57C6" w14:textId="77777777" w:rsidR="00CD29BD" w:rsidRPr="004870C7" w:rsidRDefault="00CD29BD" w:rsidP="003B2A79">
            <w:pPr>
              <w:rPr>
                <w:szCs w:val="22"/>
              </w:rPr>
            </w:pPr>
          </w:p>
        </w:tc>
        <w:tc>
          <w:tcPr>
            <w:tcW w:w="362" w:type="dxa"/>
            <w:shd w:val="clear" w:color="auto" w:fill="auto"/>
          </w:tcPr>
          <w:p w14:paraId="6E601155" w14:textId="77777777" w:rsidR="00CD29BD" w:rsidRPr="004870C7" w:rsidRDefault="00CD29BD" w:rsidP="003B2A79">
            <w:pPr>
              <w:rPr>
                <w:szCs w:val="22"/>
              </w:rPr>
            </w:pPr>
          </w:p>
        </w:tc>
        <w:tc>
          <w:tcPr>
            <w:tcW w:w="362" w:type="dxa"/>
            <w:shd w:val="clear" w:color="auto" w:fill="auto"/>
          </w:tcPr>
          <w:p w14:paraId="7685D1E0" w14:textId="77777777" w:rsidR="00CD29BD" w:rsidRPr="004870C7" w:rsidRDefault="00CD29BD" w:rsidP="003B2A79">
            <w:pPr>
              <w:rPr>
                <w:szCs w:val="22"/>
              </w:rPr>
            </w:pPr>
          </w:p>
        </w:tc>
        <w:tc>
          <w:tcPr>
            <w:tcW w:w="362" w:type="dxa"/>
            <w:shd w:val="clear" w:color="auto" w:fill="auto"/>
          </w:tcPr>
          <w:p w14:paraId="06D18314" w14:textId="77777777" w:rsidR="00CD29BD" w:rsidRPr="004870C7" w:rsidRDefault="00CD29BD" w:rsidP="003B2A79">
            <w:pPr>
              <w:rPr>
                <w:szCs w:val="22"/>
              </w:rPr>
            </w:pPr>
          </w:p>
        </w:tc>
        <w:tc>
          <w:tcPr>
            <w:tcW w:w="362" w:type="dxa"/>
            <w:shd w:val="clear" w:color="auto" w:fill="B4C6E7" w:themeFill="accent1" w:themeFillTint="66"/>
          </w:tcPr>
          <w:p w14:paraId="2E9E3DC1" w14:textId="77777777" w:rsidR="00CD29BD" w:rsidRPr="004870C7" w:rsidRDefault="00CD29BD" w:rsidP="003B2A79">
            <w:pPr>
              <w:rPr>
                <w:szCs w:val="22"/>
              </w:rPr>
            </w:pPr>
          </w:p>
        </w:tc>
        <w:tc>
          <w:tcPr>
            <w:tcW w:w="362" w:type="dxa"/>
            <w:shd w:val="clear" w:color="auto" w:fill="B4C6E7" w:themeFill="accent1" w:themeFillTint="66"/>
          </w:tcPr>
          <w:p w14:paraId="07B3E464" w14:textId="77777777" w:rsidR="00CD29BD" w:rsidRPr="004870C7" w:rsidRDefault="00CD29BD" w:rsidP="003B2A79">
            <w:pPr>
              <w:rPr>
                <w:szCs w:val="22"/>
              </w:rPr>
            </w:pPr>
          </w:p>
        </w:tc>
        <w:tc>
          <w:tcPr>
            <w:tcW w:w="362" w:type="dxa"/>
            <w:shd w:val="clear" w:color="auto" w:fill="B4C6E7" w:themeFill="accent1" w:themeFillTint="66"/>
          </w:tcPr>
          <w:p w14:paraId="1B4D8A8D" w14:textId="77777777" w:rsidR="00CD29BD" w:rsidRPr="004870C7" w:rsidRDefault="00CD29BD" w:rsidP="003B2A79">
            <w:pPr>
              <w:rPr>
                <w:szCs w:val="22"/>
              </w:rPr>
            </w:pPr>
          </w:p>
        </w:tc>
        <w:tc>
          <w:tcPr>
            <w:tcW w:w="362" w:type="dxa"/>
            <w:shd w:val="clear" w:color="auto" w:fill="B4C6E7" w:themeFill="accent1" w:themeFillTint="66"/>
          </w:tcPr>
          <w:p w14:paraId="08C8FBDF" w14:textId="77777777" w:rsidR="00CD29BD" w:rsidRPr="004870C7" w:rsidRDefault="00CD29BD" w:rsidP="003B2A79">
            <w:pPr>
              <w:rPr>
                <w:szCs w:val="22"/>
              </w:rPr>
            </w:pPr>
          </w:p>
        </w:tc>
        <w:tc>
          <w:tcPr>
            <w:tcW w:w="362" w:type="dxa"/>
            <w:shd w:val="clear" w:color="auto" w:fill="B4C6E7" w:themeFill="accent1" w:themeFillTint="66"/>
          </w:tcPr>
          <w:p w14:paraId="217359C7" w14:textId="77777777" w:rsidR="00CD29BD" w:rsidRPr="004870C7" w:rsidRDefault="00CD29BD" w:rsidP="003B2A79">
            <w:pPr>
              <w:rPr>
                <w:szCs w:val="22"/>
              </w:rPr>
            </w:pPr>
          </w:p>
        </w:tc>
        <w:tc>
          <w:tcPr>
            <w:tcW w:w="362" w:type="dxa"/>
            <w:shd w:val="clear" w:color="auto" w:fill="B4C6E7" w:themeFill="accent1" w:themeFillTint="66"/>
          </w:tcPr>
          <w:p w14:paraId="6147F0DF" w14:textId="77777777" w:rsidR="00CD29BD" w:rsidRPr="004870C7" w:rsidRDefault="00CD29BD" w:rsidP="003B2A79">
            <w:pPr>
              <w:rPr>
                <w:szCs w:val="22"/>
              </w:rPr>
            </w:pPr>
          </w:p>
        </w:tc>
        <w:tc>
          <w:tcPr>
            <w:tcW w:w="362" w:type="dxa"/>
            <w:shd w:val="clear" w:color="auto" w:fill="B4C6E7" w:themeFill="accent1" w:themeFillTint="66"/>
          </w:tcPr>
          <w:p w14:paraId="1FF08317" w14:textId="77777777" w:rsidR="00CD29BD" w:rsidRPr="004870C7" w:rsidRDefault="00CD29BD" w:rsidP="003B2A79">
            <w:pPr>
              <w:rPr>
                <w:szCs w:val="22"/>
              </w:rPr>
            </w:pPr>
          </w:p>
        </w:tc>
        <w:tc>
          <w:tcPr>
            <w:tcW w:w="362" w:type="dxa"/>
            <w:shd w:val="clear" w:color="auto" w:fill="B4C6E7" w:themeFill="accent1" w:themeFillTint="66"/>
          </w:tcPr>
          <w:p w14:paraId="68E1C84B" w14:textId="77777777" w:rsidR="00CD29BD" w:rsidRPr="004870C7" w:rsidRDefault="00CD29BD" w:rsidP="003B2A79">
            <w:pPr>
              <w:rPr>
                <w:szCs w:val="22"/>
              </w:rPr>
            </w:pPr>
          </w:p>
        </w:tc>
        <w:tc>
          <w:tcPr>
            <w:tcW w:w="362" w:type="dxa"/>
            <w:shd w:val="clear" w:color="auto" w:fill="FFFFFF" w:themeFill="background1"/>
          </w:tcPr>
          <w:p w14:paraId="38CDD544" w14:textId="77777777" w:rsidR="00CD29BD" w:rsidRPr="004870C7" w:rsidRDefault="00CD29BD" w:rsidP="003B2A79">
            <w:pPr>
              <w:rPr>
                <w:szCs w:val="22"/>
              </w:rPr>
            </w:pPr>
          </w:p>
        </w:tc>
        <w:tc>
          <w:tcPr>
            <w:tcW w:w="362" w:type="dxa"/>
            <w:shd w:val="clear" w:color="auto" w:fill="auto"/>
          </w:tcPr>
          <w:p w14:paraId="4B7B5A62" w14:textId="77777777" w:rsidR="00CD29BD" w:rsidRPr="004870C7" w:rsidRDefault="00CD29BD" w:rsidP="003B2A79">
            <w:pPr>
              <w:rPr>
                <w:szCs w:val="22"/>
              </w:rPr>
            </w:pPr>
          </w:p>
        </w:tc>
        <w:tc>
          <w:tcPr>
            <w:tcW w:w="362" w:type="dxa"/>
            <w:shd w:val="clear" w:color="auto" w:fill="auto"/>
          </w:tcPr>
          <w:p w14:paraId="564742C8" w14:textId="77777777" w:rsidR="00CD29BD" w:rsidRPr="004870C7" w:rsidRDefault="00CD29BD" w:rsidP="003B2A79">
            <w:pPr>
              <w:rPr>
                <w:szCs w:val="22"/>
              </w:rPr>
            </w:pPr>
          </w:p>
        </w:tc>
        <w:tc>
          <w:tcPr>
            <w:tcW w:w="362" w:type="dxa"/>
            <w:shd w:val="clear" w:color="auto" w:fill="auto"/>
          </w:tcPr>
          <w:p w14:paraId="06D9E30D" w14:textId="77777777" w:rsidR="00CD29BD" w:rsidRPr="004870C7" w:rsidRDefault="00CD29BD" w:rsidP="003B2A79">
            <w:pPr>
              <w:rPr>
                <w:szCs w:val="22"/>
              </w:rPr>
            </w:pPr>
          </w:p>
        </w:tc>
        <w:tc>
          <w:tcPr>
            <w:tcW w:w="362" w:type="dxa"/>
            <w:shd w:val="clear" w:color="auto" w:fill="auto"/>
          </w:tcPr>
          <w:p w14:paraId="6FE82EE1" w14:textId="77777777" w:rsidR="00CD29BD" w:rsidRPr="004870C7" w:rsidRDefault="00CD29BD" w:rsidP="003B2A79">
            <w:pPr>
              <w:rPr>
                <w:szCs w:val="22"/>
              </w:rPr>
            </w:pPr>
          </w:p>
        </w:tc>
        <w:tc>
          <w:tcPr>
            <w:tcW w:w="362" w:type="dxa"/>
            <w:shd w:val="clear" w:color="auto" w:fill="auto"/>
          </w:tcPr>
          <w:p w14:paraId="395B60AE" w14:textId="77777777" w:rsidR="00CD29BD" w:rsidRPr="004870C7" w:rsidRDefault="00CD29BD" w:rsidP="003B2A79">
            <w:pPr>
              <w:rPr>
                <w:szCs w:val="22"/>
              </w:rPr>
            </w:pPr>
          </w:p>
        </w:tc>
        <w:tc>
          <w:tcPr>
            <w:tcW w:w="362" w:type="dxa"/>
            <w:shd w:val="clear" w:color="auto" w:fill="auto"/>
          </w:tcPr>
          <w:p w14:paraId="0198BF44" w14:textId="77777777" w:rsidR="00CD29BD" w:rsidRPr="004870C7" w:rsidRDefault="00CD29BD" w:rsidP="003B2A79">
            <w:pPr>
              <w:rPr>
                <w:szCs w:val="22"/>
              </w:rPr>
            </w:pPr>
          </w:p>
        </w:tc>
        <w:tc>
          <w:tcPr>
            <w:tcW w:w="362" w:type="dxa"/>
            <w:shd w:val="clear" w:color="auto" w:fill="auto"/>
          </w:tcPr>
          <w:p w14:paraId="5BEE5530" w14:textId="77777777" w:rsidR="00CD29BD" w:rsidRPr="004870C7" w:rsidRDefault="00CD29BD" w:rsidP="003B2A79">
            <w:pPr>
              <w:rPr>
                <w:szCs w:val="22"/>
              </w:rPr>
            </w:pPr>
          </w:p>
        </w:tc>
      </w:tr>
      <w:tr w:rsidR="00CD29BD" w:rsidRPr="004870C7" w14:paraId="070F80F4" w14:textId="77777777" w:rsidTr="00E27A50">
        <w:tc>
          <w:tcPr>
            <w:tcW w:w="809" w:type="dxa"/>
            <w:vMerge/>
            <w:vAlign w:val="center"/>
          </w:tcPr>
          <w:p w14:paraId="0C6EDA3E" w14:textId="77777777" w:rsidR="00CD29BD" w:rsidRPr="004870C7" w:rsidRDefault="00CD29BD" w:rsidP="003B2A79">
            <w:pPr>
              <w:rPr>
                <w:szCs w:val="22"/>
              </w:rPr>
            </w:pPr>
          </w:p>
        </w:tc>
        <w:tc>
          <w:tcPr>
            <w:tcW w:w="739" w:type="dxa"/>
            <w:vMerge/>
            <w:shd w:val="clear" w:color="auto" w:fill="auto"/>
            <w:vAlign w:val="center"/>
          </w:tcPr>
          <w:p w14:paraId="13B72A02" w14:textId="77777777" w:rsidR="00CD29BD" w:rsidRPr="004870C7" w:rsidRDefault="00CD29BD" w:rsidP="00CE078C">
            <w:pPr>
              <w:jc w:val="center"/>
              <w:rPr>
                <w:szCs w:val="22"/>
              </w:rPr>
            </w:pPr>
          </w:p>
        </w:tc>
        <w:tc>
          <w:tcPr>
            <w:tcW w:w="634" w:type="dxa"/>
          </w:tcPr>
          <w:p w14:paraId="74D34C04" w14:textId="3B20D672" w:rsidR="00CD29BD" w:rsidRPr="004870C7" w:rsidRDefault="00CD29BD" w:rsidP="003B2A79">
            <w:pPr>
              <w:rPr>
                <w:szCs w:val="22"/>
              </w:rPr>
            </w:pPr>
            <w:r w:rsidRPr="004870C7">
              <w:rPr>
                <w:szCs w:val="22"/>
              </w:rPr>
              <w:t>2.2.3</w:t>
            </w:r>
          </w:p>
        </w:tc>
        <w:tc>
          <w:tcPr>
            <w:tcW w:w="362" w:type="dxa"/>
            <w:shd w:val="clear" w:color="auto" w:fill="auto"/>
          </w:tcPr>
          <w:p w14:paraId="6918259E" w14:textId="77777777" w:rsidR="00CD29BD" w:rsidRPr="004870C7" w:rsidRDefault="00CD29BD" w:rsidP="003B2A79">
            <w:pPr>
              <w:rPr>
                <w:szCs w:val="22"/>
              </w:rPr>
            </w:pPr>
          </w:p>
        </w:tc>
        <w:tc>
          <w:tcPr>
            <w:tcW w:w="362" w:type="dxa"/>
            <w:shd w:val="clear" w:color="auto" w:fill="auto"/>
          </w:tcPr>
          <w:p w14:paraId="5E681B74" w14:textId="77777777" w:rsidR="00CD29BD" w:rsidRPr="004870C7" w:rsidRDefault="00CD29BD" w:rsidP="003B2A79">
            <w:pPr>
              <w:rPr>
                <w:szCs w:val="22"/>
              </w:rPr>
            </w:pPr>
          </w:p>
        </w:tc>
        <w:tc>
          <w:tcPr>
            <w:tcW w:w="362" w:type="dxa"/>
            <w:shd w:val="clear" w:color="auto" w:fill="auto"/>
          </w:tcPr>
          <w:p w14:paraId="5AF2110C" w14:textId="77777777" w:rsidR="00CD29BD" w:rsidRPr="004870C7" w:rsidRDefault="00CD29BD" w:rsidP="003B2A79">
            <w:pPr>
              <w:rPr>
                <w:szCs w:val="22"/>
              </w:rPr>
            </w:pPr>
          </w:p>
        </w:tc>
        <w:tc>
          <w:tcPr>
            <w:tcW w:w="362" w:type="dxa"/>
            <w:shd w:val="clear" w:color="auto" w:fill="auto"/>
          </w:tcPr>
          <w:p w14:paraId="1384E662" w14:textId="77777777" w:rsidR="00CD29BD" w:rsidRPr="004870C7" w:rsidRDefault="00CD29BD" w:rsidP="003B2A79">
            <w:pPr>
              <w:rPr>
                <w:szCs w:val="22"/>
              </w:rPr>
            </w:pPr>
          </w:p>
        </w:tc>
        <w:tc>
          <w:tcPr>
            <w:tcW w:w="362" w:type="dxa"/>
            <w:shd w:val="clear" w:color="auto" w:fill="B4C6E7" w:themeFill="accent1" w:themeFillTint="66"/>
          </w:tcPr>
          <w:p w14:paraId="6C86FC17" w14:textId="77777777" w:rsidR="00CD29BD" w:rsidRPr="004870C7" w:rsidRDefault="00CD29BD" w:rsidP="003B2A79">
            <w:pPr>
              <w:rPr>
                <w:szCs w:val="22"/>
              </w:rPr>
            </w:pPr>
          </w:p>
        </w:tc>
        <w:tc>
          <w:tcPr>
            <w:tcW w:w="362" w:type="dxa"/>
            <w:shd w:val="clear" w:color="auto" w:fill="B4C6E7" w:themeFill="accent1" w:themeFillTint="66"/>
          </w:tcPr>
          <w:p w14:paraId="1181EAEE" w14:textId="77777777" w:rsidR="00CD29BD" w:rsidRPr="004870C7" w:rsidRDefault="00CD29BD" w:rsidP="003B2A79">
            <w:pPr>
              <w:rPr>
                <w:szCs w:val="22"/>
              </w:rPr>
            </w:pPr>
          </w:p>
        </w:tc>
        <w:tc>
          <w:tcPr>
            <w:tcW w:w="362" w:type="dxa"/>
            <w:shd w:val="clear" w:color="auto" w:fill="B4C6E7" w:themeFill="accent1" w:themeFillTint="66"/>
          </w:tcPr>
          <w:p w14:paraId="401E6794" w14:textId="77777777" w:rsidR="00CD29BD" w:rsidRPr="004870C7" w:rsidRDefault="00CD29BD" w:rsidP="003B2A79">
            <w:pPr>
              <w:rPr>
                <w:szCs w:val="22"/>
              </w:rPr>
            </w:pPr>
          </w:p>
        </w:tc>
        <w:tc>
          <w:tcPr>
            <w:tcW w:w="362" w:type="dxa"/>
            <w:shd w:val="clear" w:color="auto" w:fill="B4C6E7" w:themeFill="accent1" w:themeFillTint="66"/>
          </w:tcPr>
          <w:p w14:paraId="69787EAA" w14:textId="77777777" w:rsidR="00CD29BD" w:rsidRPr="004870C7" w:rsidRDefault="00CD29BD" w:rsidP="003B2A79">
            <w:pPr>
              <w:rPr>
                <w:szCs w:val="22"/>
              </w:rPr>
            </w:pPr>
          </w:p>
        </w:tc>
        <w:tc>
          <w:tcPr>
            <w:tcW w:w="362" w:type="dxa"/>
            <w:shd w:val="clear" w:color="auto" w:fill="B4C6E7" w:themeFill="accent1" w:themeFillTint="66"/>
          </w:tcPr>
          <w:p w14:paraId="4EA04129" w14:textId="77777777" w:rsidR="00CD29BD" w:rsidRPr="004870C7" w:rsidRDefault="00CD29BD" w:rsidP="003B2A79">
            <w:pPr>
              <w:rPr>
                <w:szCs w:val="22"/>
              </w:rPr>
            </w:pPr>
          </w:p>
        </w:tc>
        <w:tc>
          <w:tcPr>
            <w:tcW w:w="362" w:type="dxa"/>
            <w:shd w:val="clear" w:color="auto" w:fill="B4C6E7" w:themeFill="accent1" w:themeFillTint="66"/>
          </w:tcPr>
          <w:p w14:paraId="74F08FF8" w14:textId="77777777" w:rsidR="00CD29BD" w:rsidRPr="004870C7" w:rsidRDefault="00CD29BD" w:rsidP="003B2A79">
            <w:pPr>
              <w:rPr>
                <w:szCs w:val="22"/>
              </w:rPr>
            </w:pPr>
          </w:p>
        </w:tc>
        <w:tc>
          <w:tcPr>
            <w:tcW w:w="362" w:type="dxa"/>
            <w:shd w:val="clear" w:color="auto" w:fill="B4C6E7" w:themeFill="accent1" w:themeFillTint="66"/>
          </w:tcPr>
          <w:p w14:paraId="4BD00146" w14:textId="77777777" w:rsidR="00CD29BD" w:rsidRPr="004870C7" w:rsidRDefault="00CD29BD" w:rsidP="003B2A79">
            <w:pPr>
              <w:rPr>
                <w:szCs w:val="22"/>
              </w:rPr>
            </w:pPr>
          </w:p>
        </w:tc>
        <w:tc>
          <w:tcPr>
            <w:tcW w:w="362" w:type="dxa"/>
            <w:shd w:val="clear" w:color="auto" w:fill="B4C6E7" w:themeFill="accent1" w:themeFillTint="66"/>
          </w:tcPr>
          <w:p w14:paraId="05CDAEBA" w14:textId="77777777" w:rsidR="00CD29BD" w:rsidRPr="004870C7" w:rsidRDefault="00CD29BD" w:rsidP="003B2A79">
            <w:pPr>
              <w:rPr>
                <w:szCs w:val="22"/>
              </w:rPr>
            </w:pPr>
          </w:p>
        </w:tc>
        <w:tc>
          <w:tcPr>
            <w:tcW w:w="362" w:type="dxa"/>
            <w:shd w:val="clear" w:color="auto" w:fill="FFFFFF" w:themeFill="background1"/>
          </w:tcPr>
          <w:p w14:paraId="3EB4D64F" w14:textId="77777777" w:rsidR="00CD29BD" w:rsidRPr="004870C7" w:rsidRDefault="00CD29BD" w:rsidP="003B2A79">
            <w:pPr>
              <w:rPr>
                <w:szCs w:val="22"/>
              </w:rPr>
            </w:pPr>
          </w:p>
        </w:tc>
        <w:tc>
          <w:tcPr>
            <w:tcW w:w="362" w:type="dxa"/>
            <w:shd w:val="clear" w:color="auto" w:fill="auto"/>
          </w:tcPr>
          <w:p w14:paraId="3A8E6C24" w14:textId="77777777" w:rsidR="00CD29BD" w:rsidRPr="004870C7" w:rsidRDefault="00CD29BD" w:rsidP="003B2A79">
            <w:pPr>
              <w:rPr>
                <w:szCs w:val="22"/>
              </w:rPr>
            </w:pPr>
          </w:p>
        </w:tc>
        <w:tc>
          <w:tcPr>
            <w:tcW w:w="362" w:type="dxa"/>
            <w:shd w:val="clear" w:color="auto" w:fill="auto"/>
          </w:tcPr>
          <w:p w14:paraId="04D779F2" w14:textId="77777777" w:rsidR="00CD29BD" w:rsidRPr="004870C7" w:rsidRDefault="00CD29BD" w:rsidP="003B2A79">
            <w:pPr>
              <w:rPr>
                <w:szCs w:val="22"/>
              </w:rPr>
            </w:pPr>
          </w:p>
        </w:tc>
        <w:tc>
          <w:tcPr>
            <w:tcW w:w="362" w:type="dxa"/>
            <w:shd w:val="clear" w:color="auto" w:fill="auto"/>
          </w:tcPr>
          <w:p w14:paraId="596DFCB9" w14:textId="77777777" w:rsidR="00CD29BD" w:rsidRPr="004870C7" w:rsidRDefault="00CD29BD" w:rsidP="003B2A79">
            <w:pPr>
              <w:rPr>
                <w:szCs w:val="22"/>
              </w:rPr>
            </w:pPr>
          </w:p>
        </w:tc>
        <w:tc>
          <w:tcPr>
            <w:tcW w:w="362" w:type="dxa"/>
            <w:shd w:val="clear" w:color="auto" w:fill="auto"/>
          </w:tcPr>
          <w:p w14:paraId="6B852DCE" w14:textId="77777777" w:rsidR="00CD29BD" w:rsidRPr="004870C7" w:rsidRDefault="00CD29BD" w:rsidP="003B2A79">
            <w:pPr>
              <w:rPr>
                <w:szCs w:val="22"/>
              </w:rPr>
            </w:pPr>
          </w:p>
        </w:tc>
        <w:tc>
          <w:tcPr>
            <w:tcW w:w="362" w:type="dxa"/>
            <w:shd w:val="clear" w:color="auto" w:fill="auto"/>
          </w:tcPr>
          <w:p w14:paraId="6F3B278D" w14:textId="77777777" w:rsidR="00CD29BD" w:rsidRPr="004870C7" w:rsidRDefault="00CD29BD" w:rsidP="003B2A79">
            <w:pPr>
              <w:rPr>
                <w:szCs w:val="22"/>
              </w:rPr>
            </w:pPr>
          </w:p>
        </w:tc>
        <w:tc>
          <w:tcPr>
            <w:tcW w:w="362" w:type="dxa"/>
            <w:shd w:val="clear" w:color="auto" w:fill="auto"/>
          </w:tcPr>
          <w:p w14:paraId="4B6945D5" w14:textId="77777777" w:rsidR="00CD29BD" w:rsidRPr="004870C7" w:rsidRDefault="00CD29BD" w:rsidP="003B2A79">
            <w:pPr>
              <w:rPr>
                <w:szCs w:val="22"/>
              </w:rPr>
            </w:pPr>
          </w:p>
        </w:tc>
        <w:tc>
          <w:tcPr>
            <w:tcW w:w="362" w:type="dxa"/>
            <w:shd w:val="clear" w:color="auto" w:fill="auto"/>
          </w:tcPr>
          <w:p w14:paraId="20A8CEBA" w14:textId="77777777" w:rsidR="00CD29BD" w:rsidRPr="004870C7" w:rsidRDefault="00CD29BD" w:rsidP="003B2A79">
            <w:pPr>
              <w:rPr>
                <w:szCs w:val="22"/>
              </w:rPr>
            </w:pPr>
          </w:p>
        </w:tc>
      </w:tr>
      <w:tr w:rsidR="00CD29BD" w:rsidRPr="004870C7" w14:paraId="639978EE" w14:textId="77777777" w:rsidTr="00E27A50">
        <w:tc>
          <w:tcPr>
            <w:tcW w:w="809" w:type="dxa"/>
            <w:vMerge/>
            <w:vAlign w:val="center"/>
          </w:tcPr>
          <w:p w14:paraId="1C7D3553" w14:textId="77777777" w:rsidR="00CD29BD" w:rsidRPr="004870C7" w:rsidRDefault="00CD29BD" w:rsidP="003B2A79">
            <w:pPr>
              <w:rPr>
                <w:szCs w:val="22"/>
              </w:rPr>
            </w:pPr>
          </w:p>
        </w:tc>
        <w:tc>
          <w:tcPr>
            <w:tcW w:w="739" w:type="dxa"/>
            <w:vMerge/>
            <w:shd w:val="clear" w:color="auto" w:fill="auto"/>
            <w:vAlign w:val="center"/>
          </w:tcPr>
          <w:p w14:paraId="0A736BAD" w14:textId="77777777" w:rsidR="00CD29BD" w:rsidRPr="004870C7" w:rsidRDefault="00CD29BD" w:rsidP="00CE078C">
            <w:pPr>
              <w:jc w:val="center"/>
              <w:rPr>
                <w:szCs w:val="22"/>
              </w:rPr>
            </w:pPr>
          </w:p>
        </w:tc>
        <w:tc>
          <w:tcPr>
            <w:tcW w:w="634" w:type="dxa"/>
          </w:tcPr>
          <w:p w14:paraId="08F67A02" w14:textId="1CB9D387" w:rsidR="00CD29BD" w:rsidRPr="004870C7" w:rsidRDefault="00CD29BD" w:rsidP="003B2A79">
            <w:pPr>
              <w:rPr>
                <w:szCs w:val="22"/>
              </w:rPr>
            </w:pPr>
            <w:r w:rsidRPr="004870C7">
              <w:rPr>
                <w:szCs w:val="22"/>
              </w:rPr>
              <w:t>2.2.4</w:t>
            </w:r>
          </w:p>
        </w:tc>
        <w:tc>
          <w:tcPr>
            <w:tcW w:w="362" w:type="dxa"/>
            <w:shd w:val="clear" w:color="auto" w:fill="auto"/>
          </w:tcPr>
          <w:p w14:paraId="72B34E01" w14:textId="77777777" w:rsidR="00CD29BD" w:rsidRPr="004870C7" w:rsidRDefault="00CD29BD" w:rsidP="003B2A79">
            <w:pPr>
              <w:rPr>
                <w:szCs w:val="22"/>
              </w:rPr>
            </w:pPr>
          </w:p>
        </w:tc>
        <w:tc>
          <w:tcPr>
            <w:tcW w:w="362" w:type="dxa"/>
            <w:shd w:val="clear" w:color="auto" w:fill="auto"/>
          </w:tcPr>
          <w:p w14:paraId="63C46DCE" w14:textId="77777777" w:rsidR="00CD29BD" w:rsidRPr="004870C7" w:rsidRDefault="00CD29BD" w:rsidP="003B2A79">
            <w:pPr>
              <w:rPr>
                <w:szCs w:val="22"/>
              </w:rPr>
            </w:pPr>
          </w:p>
        </w:tc>
        <w:tc>
          <w:tcPr>
            <w:tcW w:w="362" w:type="dxa"/>
            <w:shd w:val="clear" w:color="auto" w:fill="auto"/>
          </w:tcPr>
          <w:p w14:paraId="01B551FB" w14:textId="77777777" w:rsidR="00CD29BD" w:rsidRPr="004870C7" w:rsidRDefault="00CD29BD" w:rsidP="003B2A79">
            <w:pPr>
              <w:rPr>
                <w:szCs w:val="22"/>
              </w:rPr>
            </w:pPr>
          </w:p>
        </w:tc>
        <w:tc>
          <w:tcPr>
            <w:tcW w:w="362" w:type="dxa"/>
            <w:shd w:val="clear" w:color="auto" w:fill="auto"/>
          </w:tcPr>
          <w:p w14:paraId="2416AB01" w14:textId="77777777" w:rsidR="00CD29BD" w:rsidRPr="004870C7" w:rsidRDefault="00CD29BD" w:rsidP="003B2A79">
            <w:pPr>
              <w:rPr>
                <w:szCs w:val="22"/>
              </w:rPr>
            </w:pPr>
          </w:p>
        </w:tc>
        <w:tc>
          <w:tcPr>
            <w:tcW w:w="362" w:type="dxa"/>
            <w:shd w:val="clear" w:color="auto" w:fill="B4C6E7" w:themeFill="accent1" w:themeFillTint="66"/>
          </w:tcPr>
          <w:p w14:paraId="14AB0E46" w14:textId="77777777" w:rsidR="00CD29BD" w:rsidRPr="004870C7" w:rsidRDefault="00CD29BD" w:rsidP="003B2A79">
            <w:pPr>
              <w:rPr>
                <w:szCs w:val="22"/>
              </w:rPr>
            </w:pPr>
          </w:p>
        </w:tc>
        <w:tc>
          <w:tcPr>
            <w:tcW w:w="362" w:type="dxa"/>
            <w:shd w:val="clear" w:color="auto" w:fill="B4C6E7" w:themeFill="accent1" w:themeFillTint="66"/>
          </w:tcPr>
          <w:p w14:paraId="014F53CC" w14:textId="77777777" w:rsidR="00CD29BD" w:rsidRPr="004870C7" w:rsidRDefault="00CD29BD" w:rsidP="003B2A79">
            <w:pPr>
              <w:rPr>
                <w:szCs w:val="22"/>
              </w:rPr>
            </w:pPr>
          </w:p>
        </w:tc>
        <w:tc>
          <w:tcPr>
            <w:tcW w:w="362" w:type="dxa"/>
            <w:shd w:val="clear" w:color="auto" w:fill="B4C6E7" w:themeFill="accent1" w:themeFillTint="66"/>
          </w:tcPr>
          <w:p w14:paraId="5B4E6DB5" w14:textId="77777777" w:rsidR="00CD29BD" w:rsidRPr="004870C7" w:rsidRDefault="00CD29BD" w:rsidP="003B2A79">
            <w:pPr>
              <w:rPr>
                <w:szCs w:val="22"/>
              </w:rPr>
            </w:pPr>
          </w:p>
        </w:tc>
        <w:tc>
          <w:tcPr>
            <w:tcW w:w="362" w:type="dxa"/>
            <w:shd w:val="clear" w:color="auto" w:fill="B4C6E7" w:themeFill="accent1" w:themeFillTint="66"/>
          </w:tcPr>
          <w:p w14:paraId="6AD3A639" w14:textId="77777777" w:rsidR="00CD29BD" w:rsidRPr="004870C7" w:rsidRDefault="00CD29BD" w:rsidP="003B2A79">
            <w:pPr>
              <w:rPr>
                <w:szCs w:val="22"/>
              </w:rPr>
            </w:pPr>
          </w:p>
        </w:tc>
        <w:tc>
          <w:tcPr>
            <w:tcW w:w="362" w:type="dxa"/>
            <w:shd w:val="clear" w:color="auto" w:fill="B4C6E7" w:themeFill="accent1" w:themeFillTint="66"/>
          </w:tcPr>
          <w:p w14:paraId="549CCC78" w14:textId="77777777" w:rsidR="00CD29BD" w:rsidRPr="004870C7" w:rsidRDefault="00CD29BD" w:rsidP="003B2A79">
            <w:pPr>
              <w:rPr>
                <w:szCs w:val="22"/>
              </w:rPr>
            </w:pPr>
          </w:p>
        </w:tc>
        <w:tc>
          <w:tcPr>
            <w:tcW w:w="362" w:type="dxa"/>
            <w:shd w:val="clear" w:color="auto" w:fill="B4C6E7" w:themeFill="accent1" w:themeFillTint="66"/>
          </w:tcPr>
          <w:p w14:paraId="1E5D09DD" w14:textId="77777777" w:rsidR="00CD29BD" w:rsidRPr="004870C7" w:rsidRDefault="00CD29BD" w:rsidP="003B2A79">
            <w:pPr>
              <w:rPr>
                <w:szCs w:val="22"/>
              </w:rPr>
            </w:pPr>
          </w:p>
        </w:tc>
        <w:tc>
          <w:tcPr>
            <w:tcW w:w="362" w:type="dxa"/>
            <w:shd w:val="clear" w:color="auto" w:fill="B4C6E7" w:themeFill="accent1" w:themeFillTint="66"/>
          </w:tcPr>
          <w:p w14:paraId="725016D5" w14:textId="77777777" w:rsidR="00CD29BD" w:rsidRPr="004870C7" w:rsidRDefault="00CD29BD" w:rsidP="003B2A79">
            <w:pPr>
              <w:rPr>
                <w:szCs w:val="22"/>
              </w:rPr>
            </w:pPr>
          </w:p>
        </w:tc>
        <w:tc>
          <w:tcPr>
            <w:tcW w:w="362" w:type="dxa"/>
            <w:shd w:val="clear" w:color="auto" w:fill="B4C6E7" w:themeFill="accent1" w:themeFillTint="66"/>
          </w:tcPr>
          <w:p w14:paraId="0588E863" w14:textId="77777777" w:rsidR="00CD29BD" w:rsidRPr="004870C7" w:rsidRDefault="00CD29BD" w:rsidP="003B2A79">
            <w:pPr>
              <w:rPr>
                <w:szCs w:val="22"/>
              </w:rPr>
            </w:pPr>
          </w:p>
        </w:tc>
        <w:tc>
          <w:tcPr>
            <w:tcW w:w="362" w:type="dxa"/>
            <w:shd w:val="clear" w:color="auto" w:fill="FFFFFF" w:themeFill="background1"/>
          </w:tcPr>
          <w:p w14:paraId="7047CCF1" w14:textId="77777777" w:rsidR="00CD29BD" w:rsidRPr="004870C7" w:rsidRDefault="00CD29BD" w:rsidP="003B2A79">
            <w:pPr>
              <w:rPr>
                <w:szCs w:val="22"/>
              </w:rPr>
            </w:pPr>
          </w:p>
        </w:tc>
        <w:tc>
          <w:tcPr>
            <w:tcW w:w="362" w:type="dxa"/>
            <w:shd w:val="clear" w:color="auto" w:fill="auto"/>
          </w:tcPr>
          <w:p w14:paraId="0D8E357C" w14:textId="77777777" w:rsidR="00CD29BD" w:rsidRPr="004870C7" w:rsidRDefault="00CD29BD" w:rsidP="003B2A79">
            <w:pPr>
              <w:rPr>
                <w:szCs w:val="22"/>
              </w:rPr>
            </w:pPr>
          </w:p>
        </w:tc>
        <w:tc>
          <w:tcPr>
            <w:tcW w:w="362" w:type="dxa"/>
            <w:shd w:val="clear" w:color="auto" w:fill="auto"/>
          </w:tcPr>
          <w:p w14:paraId="23A69A4F" w14:textId="77777777" w:rsidR="00CD29BD" w:rsidRPr="004870C7" w:rsidRDefault="00CD29BD" w:rsidP="003B2A79">
            <w:pPr>
              <w:rPr>
                <w:szCs w:val="22"/>
              </w:rPr>
            </w:pPr>
          </w:p>
        </w:tc>
        <w:tc>
          <w:tcPr>
            <w:tcW w:w="362" w:type="dxa"/>
            <w:shd w:val="clear" w:color="auto" w:fill="auto"/>
          </w:tcPr>
          <w:p w14:paraId="497A8E62" w14:textId="77777777" w:rsidR="00CD29BD" w:rsidRPr="004870C7" w:rsidRDefault="00CD29BD" w:rsidP="003B2A79">
            <w:pPr>
              <w:rPr>
                <w:szCs w:val="22"/>
              </w:rPr>
            </w:pPr>
          </w:p>
        </w:tc>
        <w:tc>
          <w:tcPr>
            <w:tcW w:w="362" w:type="dxa"/>
            <w:shd w:val="clear" w:color="auto" w:fill="auto"/>
          </w:tcPr>
          <w:p w14:paraId="7DB51C97" w14:textId="77777777" w:rsidR="00CD29BD" w:rsidRPr="004870C7" w:rsidRDefault="00CD29BD" w:rsidP="003B2A79">
            <w:pPr>
              <w:rPr>
                <w:szCs w:val="22"/>
              </w:rPr>
            </w:pPr>
          </w:p>
        </w:tc>
        <w:tc>
          <w:tcPr>
            <w:tcW w:w="362" w:type="dxa"/>
            <w:shd w:val="clear" w:color="auto" w:fill="auto"/>
          </w:tcPr>
          <w:p w14:paraId="2816C8A4" w14:textId="77777777" w:rsidR="00CD29BD" w:rsidRPr="004870C7" w:rsidRDefault="00CD29BD" w:rsidP="003B2A79">
            <w:pPr>
              <w:rPr>
                <w:szCs w:val="22"/>
              </w:rPr>
            </w:pPr>
          </w:p>
        </w:tc>
        <w:tc>
          <w:tcPr>
            <w:tcW w:w="362" w:type="dxa"/>
            <w:shd w:val="clear" w:color="auto" w:fill="auto"/>
          </w:tcPr>
          <w:p w14:paraId="0D1BF1C1" w14:textId="77777777" w:rsidR="00CD29BD" w:rsidRPr="004870C7" w:rsidRDefault="00CD29BD" w:rsidP="003B2A79">
            <w:pPr>
              <w:rPr>
                <w:szCs w:val="22"/>
              </w:rPr>
            </w:pPr>
          </w:p>
        </w:tc>
        <w:tc>
          <w:tcPr>
            <w:tcW w:w="362" w:type="dxa"/>
            <w:shd w:val="clear" w:color="auto" w:fill="auto"/>
          </w:tcPr>
          <w:p w14:paraId="0416391B" w14:textId="77777777" w:rsidR="00CD29BD" w:rsidRPr="004870C7" w:rsidRDefault="00CD29BD" w:rsidP="003B2A79">
            <w:pPr>
              <w:rPr>
                <w:szCs w:val="22"/>
              </w:rPr>
            </w:pPr>
          </w:p>
        </w:tc>
      </w:tr>
      <w:tr w:rsidR="00CD29BD" w:rsidRPr="004870C7" w14:paraId="4706ACD3" w14:textId="77777777" w:rsidTr="00E27A50">
        <w:tc>
          <w:tcPr>
            <w:tcW w:w="809" w:type="dxa"/>
            <w:vMerge/>
            <w:vAlign w:val="center"/>
          </w:tcPr>
          <w:p w14:paraId="262EC157" w14:textId="77777777" w:rsidR="00CD29BD" w:rsidRPr="004870C7" w:rsidRDefault="00CD29BD" w:rsidP="003B2A79">
            <w:pPr>
              <w:rPr>
                <w:szCs w:val="22"/>
              </w:rPr>
            </w:pPr>
          </w:p>
        </w:tc>
        <w:tc>
          <w:tcPr>
            <w:tcW w:w="739" w:type="dxa"/>
            <w:vMerge w:val="restart"/>
            <w:shd w:val="clear" w:color="auto" w:fill="auto"/>
            <w:vAlign w:val="center"/>
          </w:tcPr>
          <w:p w14:paraId="6ABBF08F" w14:textId="66D403CC" w:rsidR="00CD29BD" w:rsidRPr="004870C7" w:rsidRDefault="00CD29BD" w:rsidP="00CE078C">
            <w:pPr>
              <w:jc w:val="center"/>
              <w:rPr>
                <w:szCs w:val="22"/>
              </w:rPr>
            </w:pPr>
            <w:r w:rsidRPr="004870C7">
              <w:rPr>
                <w:szCs w:val="22"/>
              </w:rPr>
              <w:t>2.3</w:t>
            </w:r>
          </w:p>
        </w:tc>
        <w:tc>
          <w:tcPr>
            <w:tcW w:w="634" w:type="dxa"/>
          </w:tcPr>
          <w:p w14:paraId="47088281" w14:textId="7134E0AA" w:rsidR="00CD29BD" w:rsidRPr="004870C7" w:rsidRDefault="00CD29BD" w:rsidP="003B2A79">
            <w:pPr>
              <w:rPr>
                <w:szCs w:val="22"/>
              </w:rPr>
            </w:pPr>
            <w:r w:rsidRPr="004870C7">
              <w:rPr>
                <w:szCs w:val="22"/>
              </w:rPr>
              <w:t>2.3.1</w:t>
            </w:r>
          </w:p>
        </w:tc>
        <w:tc>
          <w:tcPr>
            <w:tcW w:w="362" w:type="dxa"/>
            <w:shd w:val="clear" w:color="auto" w:fill="auto"/>
          </w:tcPr>
          <w:p w14:paraId="2C835F90" w14:textId="77777777" w:rsidR="00CD29BD" w:rsidRPr="004870C7" w:rsidRDefault="00CD29BD" w:rsidP="003B2A79">
            <w:pPr>
              <w:rPr>
                <w:szCs w:val="22"/>
              </w:rPr>
            </w:pPr>
          </w:p>
        </w:tc>
        <w:tc>
          <w:tcPr>
            <w:tcW w:w="362" w:type="dxa"/>
            <w:shd w:val="clear" w:color="auto" w:fill="auto"/>
          </w:tcPr>
          <w:p w14:paraId="46F5E2D7" w14:textId="77777777" w:rsidR="00CD29BD" w:rsidRPr="004870C7" w:rsidRDefault="00CD29BD" w:rsidP="003B2A79">
            <w:pPr>
              <w:rPr>
                <w:szCs w:val="22"/>
              </w:rPr>
            </w:pPr>
          </w:p>
        </w:tc>
        <w:tc>
          <w:tcPr>
            <w:tcW w:w="362" w:type="dxa"/>
            <w:shd w:val="clear" w:color="auto" w:fill="auto"/>
          </w:tcPr>
          <w:p w14:paraId="620C2F8A" w14:textId="77777777" w:rsidR="00CD29BD" w:rsidRPr="004870C7" w:rsidRDefault="00CD29BD" w:rsidP="003B2A79">
            <w:pPr>
              <w:rPr>
                <w:szCs w:val="22"/>
              </w:rPr>
            </w:pPr>
          </w:p>
        </w:tc>
        <w:tc>
          <w:tcPr>
            <w:tcW w:w="362" w:type="dxa"/>
            <w:shd w:val="clear" w:color="auto" w:fill="auto"/>
          </w:tcPr>
          <w:p w14:paraId="0888AE62" w14:textId="77777777" w:rsidR="00CD29BD" w:rsidRPr="004870C7" w:rsidRDefault="00CD29BD" w:rsidP="003B2A79">
            <w:pPr>
              <w:rPr>
                <w:szCs w:val="22"/>
              </w:rPr>
            </w:pPr>
          </w:p>
        </w:tc>
        <w:tc>
          <w:tcPr>
            <w:tcW w:w="362" w:type="dxa"/>
            <w:shd w:val="clear" w:color="auto" w:fill="FFFFFF" w:themeFill="background1"/>
          </w:tcPr>
          <w:p w14:paraId="7E9692A1" w14:textId="77777777" w:rsidR="00CD29BD" w:rsidRPr="004870C7" w:rsidRDefault="00CD29BD" w:rsidP="003B2A79">
            <w:pPr>
              <w:rPr>
                <w:szCs w:val="22"/>
              </w:rPr>
            </w:pPr>
          </w:p>
        </w:tc>
        <w:tc>
          <w:tcPr>
            <w:tcW w:w="362" w:type="dxa"/>
            <w:shd w:val="clear" w:color="auto" w:fill="FFFFFF" w:themeFill="background1"/>
          </w:tcPr>
          <w:p w14:paraId="7184310F" w14:textId="77777777" w:rsidR="00CD29BD" w:rsidRPr="004870C7" w:rsidRDefault="00CD29BD" w:rsidP="003B2A79">
            <w:pPr>
              <w:rPr>
                <w:szCs w:val="22"/>
              </w:rPr>
            </w:pPr>
          </w:p>
        </w:tc>
        <w:tc>
          <w:tcPr>
            <w:tcW w:w="362" w:type="dxa"/>
            <w:shd w:val="clear" w:color="auto" w:fill="FFFFFF" w:themeFill="background1"/>
          </w:tcPr>
          <w:p w14:paraId="775AEEFA" w14:textId="77777777" w:rsidR="00CD29BD" w:rsidRPr="004870C7" w:rsidRDefault="00CD29BD" w:rsidP="003B2A79">
            <w:pPr>
              <w:rPr>
                <w:szCs w:val="22"/>
              </w:rPr>
            </w:pPr>
          </w:p>
        </w:tc>
        <w:tc>
          <w:tcPr>
            <w:tcW w:w="362" w:type="dxa"/>
            <w:shd w:val="clear" w:color="auto" w:fill="FFFFFF" w:themeFill="background1"/>
          </w:tcPr>
          <w:p w14:paraId="768EE7A0" w14:textId="77777777" w:rsidR="00CD29BD" w:rsidRPr="004870C7" w:rsidRDefault="00CD29BD" w:rsidP="003B2A79">
            <w:pPr>
              <w:rPr>
                <w:szCs w:val="22"/>
              </w:rPr>
            </w:pPr>
          </w:p>
        </w:tc>
        <w:tc>
          <w:tcPr>
            <w:tcW w:w="362" w:type="dxa"/>
            <w:shd w:val="clear" w:color="auto" w:fill="B4C6E7" w:themeFill="accent1" w:themeFillTint="66"/>
          </w:tcPr>
          <w:p w14:paraId="6358DA3C" w14:textId="77777777" w:rsidR="00CD29BD" w:rsidRPr="004870C7" w:rsidRDefault="00CD29BD" w:rsidP="003B2A79">
            <w:pPr>
              <w:rPr>
                <w:szCs w:val="22"/>
              </w:rPr>
            </w:pPr>
          </w:p>
        </w:tc>
        <w:tc>
          <w:tcPr>
            <w:tcW w:w="362" w:type="dxa"/>
            <w:shd w:val="clear" w:color="auto" w:fill="B4C6E7" w:themeFill="accent1" w:themeFillTint="66"/>
          </w:tcPr>
          <w:p w14:paraId="62B92C67" w14:textId="77777777" w:rsidR="00CD29BD" w:rsidRPr="004870C7" w:rsidRDefault="00CD29BD" w:rsidP="003B2A79">
            <w:pPr>
              <w:rPr>
                <w:szCs w:val="22"/>
              </w:rPr>
            </w:pPr>
          </w:p>
        </w:tc>
        <w:tc>
          <w:tcPr>
            <w:tcW w:w="362" w:type="dxa"/>
            <w:shd w:val="clear" w:color="auto" w:fill="B4C6E7" w:themeFill="accent1" w:themeFillTint="66"/>
          </w:tcPr>
          <w:p w14:paraId="74E947E0" w14:textId="77777777" w:rsidR="00CD29BD" w:rsidRPr="004870C7" w:rsidRDefault="00CD29BD" w:rsidP="003B2A79">
            <w:pPr>
              <w:rPr>
                <w:szCs w:val="22"/>
              </w:rPr>
            </w:pPr>
          </w:p>
        </w:tc>
        <w:tc>
          <w:tcPr>
            <w:tcW w:w="362" w:type="dxa"/>
            <w:shd w:val="clear" w:color="auto" w:fill="B4C6E7" w:themeFill="accent1" w:themeFillTint="66"/>
          </w:tcPr>
          <w:p w14:paraId="3477621F" w14:textId="77777777" w:rsidR="00CD29BD" w:rsidRPr="004870C7" w:rsidRDefault="00CD29BD" w:rsidP="003B2A79">
            <w:pPr>
              <w:rPr>
                <w:szCs w:val="22"/>
              </w:rPr>
            </w:pPr>
          </w:p>
        </w:tc>
        <w:tc>
          <w:tcPr>
            <w:tcW w:w="362" w:type="dxa"/>
            <w:shd w:val="clear" w:color="auto" w:fill="FFFFFF" w:themeFill="background1"/>
          </w:tcPr>
          <w:p w14:paraId="62FC21F1" w14:textId="77777777" w:rsidR="00CD29BD" w:rsidRPr="004870C7" w:rsidRDefault="00CD29BD" w:rsidP="003B2A79">
            <w:pPr>
              <w:rPr>
                <w:szCs w:val="22"/>
              </w:rPr>
            </w:pPr>
          </w:p>
        </w:tc>
        <w:tc>
          <w:tcPr>
            <w:tcW w:w="362" w:type="dxa"/>
            <w:shd w:val="clear" w:color="auto" w:fill="auto"/>
          </w:tcPr>
          <w:p w14:paraId="7DAEFCDA" w14:textId="77777777" w:rsidR="00CD29BD" w:rsidRPr="004870C7" w:rsidRDefault="00CD29BD" w:rsidP="003B2A79">
            <w:pPr>
              <w:rPr>
                <w:szCs w:val="22"/>
              </w:rPr>
            </w:pPr>
          </w:p>
        </w:tc>
        <w:tc>
          <w:tcPr>
            <w:tcW w:w="362" w:type="dxa"/>
            <w:shd w:val="clear" w:color="auto" w:fill="auto"/>
          </w:tcPr>
          <w:p w14:paraId="3D274363" w14:textId="77777777" w:rsidR="00CD29BD" w:rsidRPr="004870C7" w:rsidRDefault="00CD29BD" w:rsidP="003B2A79">
            <w:pPr>
              <w:rPr>
                <w:szCs w:val="22"/>
              </w:rPr>
            </w:pPr>
          </w:p>
        </w:tc>
        <w:tc>
          <w:tcPr>
            <w:tcW w:w="362" w:type="dxa"/>
            <w:shd w:val="clear" w:color="auto" w:fill="auto"/>
          </w:tcPr>
          <w:p w14:paraId="2651011C" w14:textId="77777777" w:rsidR="00CD29BD" w:rsidRPr="004870C7" w:rsidRDefault="00CD29BD" w:rsidP="003B2A79">
            <w:pPr>
              <w:rPr>
                <w:szCs w:val="22"/>
              </w:rPr>
            </w:pPr>
          </w:p>
        </w:tc>
        <w:tc>
          <w:tcPr>
            <w:tcW w:w="362" w:type="dxa"/>
            <w:shd w:val="clear" w:color="auto" w:fill="auto"/>
          </w:tcPr>
          <w:p w14:paraId="0CA46857" w14:textId="77777777" w:rsidR="00CD29BD" w:rsidRPr="004870C7" w:rsidRDefault="00CD29BD" w:rsidP="003B2A79">
            <w:pPr>
              <w:rPr>
                <w:szCs w:val="22"/>
              </w:rPr>
            </w:pPr>
          </w:p>
        </w:tc>
        <w:tc>
          <w:tcPr>
            <w:tcW w:w="362" w:type="dxa"/>
            <w:shd w:val="clear" w:color="auto" w:fill="auto"/>
          </w:tcPr>
          <w:p w14:paraId="1A438AEE" w14:textId="77777777" w:rsidR="00CD29BD" w:rsidRPr="004870C7" w:rsidRDefault="00CD29BD" w:rsidP="003B2A79">
            <w:pPr>
              <w:rPr>
                <w:szCs w:val="22"/>
              </w:rPr>
            </w:pPr>
          </w:p>
        </w:tc>
        <w:tc>
          <w:tcPr>
            <w:tcW w:w="362" w:type="dxa"/>
            <w:shd w:val="clear" w:color="auto" w:fill="auto"/>
          </w:tcPr>
          <w:p w14:paraId="2C357E37" w14:textId="77777777" w:rsidR="00CD29BD" w:rsidRPr="004870C7" w:rsidRDefault="00CD29BD" w:rsidP="003B2A79">
            <w:pPr>
              <w:rPr>
                <w:szCs w:val="22"/>
              </w:rPr>
            </w:pPr>
          </w:p>
        </w:tc>
        <w:tc>
          <w:tcPr>
            <w:tcW w:w="362" w:type="dxa"/>
            <w:shd w:val="clear" w:color="auto" w:fill="auto"/>
          </w:tcPr>
          <w:p w14:paraId="1B37CED6" w14:textId="77777777" w:rsidR="00CD29BD" w:rsidRPr="004870C7" w:rsidRDefault="00CD29BD" w:rsidP="003B2A79">
            <w:pPr>
              <w:rPr>
                <w:szCs w:val="22"/>
              </w:rPr>
            </w:pPr>
          </w:p>
        </w:tc>
      </w:tr>
      <w:tr w:rsidR="00CD29BD" w:rsidRPr="004870C7" w14:paraId="7BC19279" w14:textId="77777777" w:rsidTr="00E27A50">
        <w:tc>
          <w:tcPr>
            <w:tcW w:w="809" w:type="dxa"/>
            <w:vMerge/>
            <w:vAlign w:val="center"/>
          </w:tcPr>
          <w:p w14:paraId="7089AB8E" w14:textId="77777777" w:rsidR="00CD29BD" w:rsidRPr="004870C7" w:rsidRDefault="00CD29BD" w:rsidP="003B2A79">
            <w:pPr>
              <w:rPr>
                <w:szCs w:val="22"/>
              </w:rPr>
            </w:pPr>
          </w:p>
        </w:tc>
        <w:tc>
          <w:tcPr>
            <w:tcW w:w="739" w:type="dxa"/>
            <w:vMerge/>
            <w:shd w:val="clear" w:color="auto" w:fill="auto"/>
            <w:vAlign w:val="center"/>
          </w:tcPr>
          <w:p w14:paraId="6C874D89" w14:textId="77777777" w:rsidR="00CD29BD" w:rsidRPr="004870C7" w:rsidRDefault="00CD29BD" w:rsidP="00CE078C">
            <w:pPr>
              <w:jc w:val="center"/>
              <w:rPr>
                <w:szCs w:val="22"/>
              </w:rPr>
            </w:pPr>
          </w:p>
        </w:tc>
        <w:tc>
          <w:tcPr>
            <w:tcW w:w="634" w:type="dxa"/>
          </w:tcPr>
          <w:p w14:paraId="1DB670CA" w14:textId="342CEA92" w:rsidR="00CD29BD" w:rsidRPr="004870C7" w:rsidRDefault="00CD29BD" w:rsidP="003B2A79">
            <w:pPr>
              <w:rPr>
                <w:szCs w:val="22"/>
              </w:rPr>
            </w:pPr>
            <w:r w:rsidRPr="004870C7">
              <w:rPr>
                <w:szCs w:val="22"/>
              </w:rPr>
              <w:t>2.3.2</w:t>
            </w:r>
          </w:p>
        </w:tc>
        <w:tc>
          <w:tcPr>
            <w:tcW w:w="362" w:type="dxa"/>
            <w:shd w:val="clear" w:color="auto" w:fill="auto"/>
          </w:tcPr>
          <w:p w14:paraId="7B11BE23" w14:textId="77777777" w:rsidR="00CD29BD" w:rsidRPr="004870C7" w:rsidRDefault="00CD29BD" w:rsidP="003B2A79">
            <w:pPr>
              <w:rPr>
                <w:szCs w:val="22"/>
              </w:rPr>
            </w:pPr>
          </w:p>
        </w:tc>
        <w:tc>
          <w:tcPr>
            <w:tcW w:w="362" w:type="dxa"/>
            <w:shd w:val="clear" w:color="auto" w:fill="auto"/>
          </w:tcPr>
          <w:p w14:paraId="72B82CDD" w14:textId="77777777" w:rsidR="00CD29BD" w:rsidRPr="004870C7" w:rsidRDefault="00CD29BD" w:rsidP="003B2A79">
            <w:pPr>
              <w:rPr>
                <w:szCs w:val="22"/>
              </w:rPr>
            </w:pPr>
          </w:p>
        </w:tc>
        <w:tc>
          <w:tcPr>
            <w:tcW w:w="362" w:type="dxa"/>
            <w:shd w:val="clear" w:color="auto" w:fill="auto"/>
          </w:tcPr>
          <w:p w14:paraId="1E9E06B5" w14:textId="77777777" w:rsidR="00CD29BD" w:rsidRPr="004870C7" w:rsidRDefault="00CD29BD" w:rsidP="003B2A79">
            <w:pPr>
              <w:rPr>
                <w:szCs w:val="22"/>
              </w:rPr>
            </w:pPr>
          </w:p>
        </w:tc>
        <w:tc>
          <w:tcPr>
            <w:tcW w:w="362" w:type="dxa"/>
            <w:shd w:val="clear" w:color="auto" w:fill="auto"/>
          </w:tcPr>
          <w:p w14:paraId="2F74214D" w14:textId="77777777" w:rsidR="00CD29BD" w:rsidRPr="004870C7" w:rsidRDefault="00CD29BD" w:rsidP="003B2A79">
            <w:pPr>
              <w:rPr>
                <w:szCs w:val="22"/>
              </w:rPr>
            </w:pPr>
          </w:p>
        </w:tc>
        <w:tc>
          <w:tcPr>
            <w:tcW w:w="362" w:type="dxa"/>
            <w:shd w:val="clear" w:color="auto" w:fill="FFFFFF" w:themeFill="background1"/>
          </w:tcPr>
          <w:p w14:paraId="152E4EC2" w14:textId="77777777" w:rsidR="00CD29BD" w:rsidRPr="004870C7" w:rsidRDefault="00CD29BD" w:rsidP="003B2A79">
            <w:pPr>
              <w:rPr>
                <w:szCs w:val="22"/>
              </w:rPr>
            </w:pPr>
          </w:p>
        </w:tc>
        <w:tc>
          <w:tcPr>
            <w:tcW w:w="362" w:type="dxa"/>
            <w:shd w:val="clear" w:color="auto" w:fill="FFFFFF" w:themeFill="background1"/>
          </w:tcPr>
          <w:p w14:paraId="2C901C67" w14:textId="77777777" w:rsidR="00CD29BD" w:rsidRPr="004870C7" w:rsidRDefault="00CD29BD" w:rsidP="003B2A79">
            <w:pPr>
              <w:rPr>
                <w:szCs w:val="22"/>
              </w:rPr>
            </w:pPr>
          </w:p>
        </w:tc>
        <w:tc>
          <w:tcPr>
            <w:tcW w:w="362" w:type="dxa"/>
            <w:shd w:val="clear" w:color="auto" w:fill="FFFFFF" w:themeFill="background1"/>
          </w:tcPr>
          <w:p w14:paraId="2F9E708A" w14:textId="77777777" w:rsidR="00CD29BD" w:rsidRPr="004870C7" w:rsidRDefault="00CD29BD" w:rsidP="003B2A79">
            <w:pPr>
              <w:rPr>
                <w:szCs w:val="22"/>
              </w:rPr>
            </w:pPr>
          </w:p>
        </w:tc>
        <w:tc>
          <w:tcPr>
            <w:tcW w:w="362" w:type="dxa"/>
            <w:shd w:val="clear" w:color="auto" w:fill="FFFFFF" w:themeFill="background1"/>
          </w:tcPr>
          <w:p w14:paraId="6C501ECB" w14:textId="77777777" w:rsidR="00CD29BD" w:rsidRPr="004870C7" w:rsidRDefault="00CD29BD" w:rsidP="003B2A79">
            <w:pPr>
              <w:rPr>
                <w:szCs w:val="22"/>
              </w:rPr>
            </w:pPr>
          </w:p>
        </w:tc>
        <w:tc>
          <w:tcPr>
            <w:tcW w:w="362" w:type="dxa"/>
            <w:shd w:val="clear" w:color="auto" w:fill="B4C6E7" w:themeFill="accent1" w:themeFillTint="66"/>
          </w:tcPr>
          <w:p w14:paraId="58BA4895" w14:textId="77777777" w:rsidR="00CD29BD" w:rsidRPr="004870C7" w:rsidRDefault="00CD29BD" w:rsidP="003B2A79">
            <w:pPr>
              <w:rPr>
                <w:szCs w:val="22"/>
              </w:rPr>
            </w:pPr>
          </w:p>
        </w:tc>
        <w:tc>
          <w:tcPr>
            <w:tcW w:w="362" w:type="dxa"/>
            <w:shd w:val="clear" w:color="auto" w:fill="B4C6E7" w:themeFill="accent1" w:themeFillTint="66"/>
          </w:tcPr>
          <w:p w14:paraId="7D7F5943" w14:textId="77777777" w:rsidR="00CD29BD" w:rsidRPr="004870C7" w:rsidRDefault="00CD29BD" w:rsidP="003B2A79">
            <w:pPr>
              <w:rPr>
                <w:szCs w:val="22"/>
              </w:rPr>
            </w:pPr>
          </w:p>
        </w:tc>
        <w:tc>
          <w:tcPr>
            <w:tcW w:w="362" w:type="dxa"/>
            <w:shd w:val="clear" w:color="auto" w:fill="B4C6E7" w:themeFill="accent1" w:themeFillTint="66"/>
          </w:tcPr>
          <w:p w14:paraId="19905714" w14:textId="77777777" w:rsidR="00CD29BD" w:rsidRPr="004870C7" w:rsidRDefault="00CD29BD" w:rsidP="003B2A79">
            <w:pPr>
              <w:rPr>
                <w:szCs w:val="22"/>
              </w:rPr>
            </w:pPr>
          </w:p>
        </w:tc>
        <w:tc>
          <w:tcPr>
            <w:tcW w:w="362" w:type="dxa"/>
            <w:shd w:val="clear" w:color="auto" w:fill="B4C6E7" w:themeFill="accent1" w:themeFillTint="66"/>
          </w:tcPr>
          <w:p w14:paraId="516957EE" w14:textId="77777777" w:rsidR="00CD29BD" w:rsidRPr="004870C7" w:rsidRDefault="00CD29BD" w:rsidP="003B2A79">
            <w:pPr>
              <w:rPr>
                <w:szCs w:val="22"/>
              </w:rPr>
            </w:pPr>
          </w:p>
        </w:tc>
        <w:tc>
          <w:tcPr>
            <w:tcW w:w="362" w:type="dxa"/>
            <w:shd w:val="clear" w:color="auto" w:fill="FFFFFF" w:themeFill="background1"/>
          </w:tcPr>
          <w:p w14:paraId="515F321B" w14:textId="77777777" w:rsidR="00CD29BD" w:rsidRPr="004870C7" w:rsidRDefault="00CD29BD" w:rsidP="003B2A79">
            <w:pPr>
              <w:rPr>
                <w:szCs w:val="22"/>
              </w:rPr>
            </w:pPr>
          </w:p>
        </w:tc>
        <w:tc>
          <w:tcPr>
            <w:tcW w:w="362" w:type="dxa"/>
            <w:shd w:val="clear" w:color="auto" w:fill="auto"/>
          </w:tcPr>
          <w:p w14:paraId="4C121E2F" w14:textId="77777777" w:rsidR="00CD29BD" w:rsidRPr="004870C7" w:rsidRDefault="00CD29BD" w:rsidP="003B2A79">
            <w:pPr>
              <w:rPr>
                <w:szCs w:val="22"/>
              </w:rPr>
            </w:pPr>
          </w:p>
        </w:tc>
        <w:tc>
          <w:tcPr>
            <w:tcW w:w="362" w:type="dxa"/>
            <w:shd w:val="clear" w:color="auto" w:fill="auto"/>
          </w:tcPr>
          <w:p w14:paraId="6E1CCBE3" w14:textId="77777777" w:rsidR="00CD29BD" w:rsidRPr="004870C7" w:rsidRDefault="00CD29BD" w:rsidP="003B2A79">
            <w:pPr>
              <w:rPr>
                <w:szCs w:val="22"/>
              </w:rPr>
            </w:pPr>
          </w:p>
        </w:tc>
        <w:tc>
          <w:tcPr>
            <w:tcW w:w="362" w:type="dxa"/>
            <w:shd w:val="clear" w:color="auto" w:fill="auto"/>
          </w:tcPr>
          <w:p w14:paraId="61C6A2FF" w14:textId="77777777" w:rsidR="00CD29BD" w:rsidRPr="004870C7" w:rsidRDefault="00CD29BD" w:rsidP="003B2A79">
            <w:pPr>
              <w:rPr>
                <w:szCs w:val="22"/>
              </w:rPr>
            </w:pPr>
          </w:p>
        </w:tc>
        <w:tc>
          <w:tcPr>
            <w:tcW w:w="362" w:type="dxa"/>
            <w:shd w:val="clear" w:color="auto" w:fill="auto"/>
          </w:tcPr>
          <w:p w14:paraId="1C680142" w14:textId="77777777" w:rsidR="00CD29BD" w:rsidRPr="004870C7" w:rsidRDefault="00CD29BD" w:rsidP="003B2A79">
            <w:pPr>
              <w:rPr>
                <w:szCs w:val="22"/>
              </w:rPr>
            </w:pPr>
          </w:p>
        </w:tc>
        <w:tc>
          <w:tcPr>
            <w:tcW w:w="362" w:type="dxa"/>
            <w:shd w:val="clear" w:color="auto" w:fill="auto"/>
          </w:tcPr>
          <w:p w14:paraId="5D04F4AD" w14:textId="77777777" w:rsidR="00CD29BD" w:rsidRPr="004870C7" w:rsidRDefault="00CD29BD" w:rsidP="003B2A79">
            <w:pPr>
              <w:rPr>
                <w:szCs w:val="22"/>
              </w:rPr>
            </w:pPr>
          </w:p>
        </w:tc>
        <w:tc>
          <w:tcPr>
            <w:tcW w:w="362" w:type="dxa"/>
            <w:shd w:val="clear" w:color="auto" w:fill="auto"/>
          </w:tcPr>
          <w:p w14:paraId="222B776D" w14:textId="77777777" w:rsidR="00CD29BD" w:rsidRPr="004870C7" w:rsidRDefault="00CD29BD" w:rsidP="003B2A79">
            <w:pPr>
              <w:rPr>
                <w:szCs w:val="22"/>
              </w:rPr>
            </w:pPr>
          </w:p>
        </w:tc>
        <w:tc>
          <w:tcPr>
            <w:tcW w:w="362" w:type="dxa"/>
            <w:shd w:val="clear" w:color="auto" w:fill="auto"/>
          </w:tcPr>
          <w:p w14:paraId="78915D9F" w14:textId="77777777" w:rsidR="00CD29BD" w:rsidRPr="004870C7" w:rsidRDefault="00CD29BD" w:rsidP="003B2A79">
            <w:pPr>
              <w:rPr>
                <w:szCs w:val="22"/>
              </w:rPr>
            </w:pPr>
          </w:p>
        </w:tc>
      </w:tr>
      <w:tr w:rsidR="00CD29BD" w:rsidRPr="004870C7" w14:paraId="0698DAC2" w14:textId="77777777" w:rsidTr="00E27A50">
        <w:tc>
          <w:tcPr>
            <w:tcW w:w="809" w:type="dxa"/>
            <w:vMerge w:val="restart"/>
            <w:vAlign w:val="center"/>
          </w:tcPr>
          <w:p w14:paraId="76A8A6EA" w14:textId="6967931C" w:rsidR="00CD29BD" w:rsidRPr="004870C7" w:rsidRDefault="00CD29BD" w:rsidP="00983641">
            <w:pPr>
              <w:jc w:val="center"/>
              <w:rPr>
                <w:szCs w:val="22"/>
              </w:rPr>
            </w:pPr>
            <w:r w:rsidRPr="004870C7">
              <w:rPr>
                <w:szCs w:val="22"/>
              </w:rPr>
              <w:t>Component 3</w:t>
            </w:r>
          </w:p>
        </w:tc>
        <w:tc>
          <w:tcPr>
            <w:tcW w:w="739" w:type="dxa"/>
            <w:vMerge w:val="restart"/>
            <w:shd w:val="clear" w:color="auto" w:fill="auto"/>
            <w:vAlign w:val="center"/>
          </w:tcPr>
          <w:p w14:paraId="3F185625" w14:textId="379DC6A0" w:rsidR="00CD29BD" w:rsidRPr="004870C7" w:rsidRDefault="00CD29BD" w:rsidP="00CE078C">
            <w:pPr>
              <w:jc w:val="center"/>
              <w:rPr>
                <w:szCs w:val="22"/>
              </w:rPr>
            </w:pPr>
            <w:r w:rsidRPr="004870C7">
              <w:rPr>
                <w:szCs w:val="22"/>
              </w:rPr>
              <w:t>3.1</w:t>
            </w:r>
          </w:p>
        </w:tc>
        <w:tc>
          <w:tcPr>
            <w:tcW w:w="634" w:type="dxa"/>
          </w:tcPr>
          <w:p w14:paraId="23AD9C17" w14:textId="4388986F" w:rsidR="00CD29BD" w:rsidRPr="004870C7" w:rsidRDefault="00CD29BD" w:rsidP="003B2A79">
            <w:pPr>
              <w:rPr>
                <w:szCs w:val="22"/>
              </w:rPr>
            </w:pPr>
            <w:r w:rsidRPr="004870C7">
              <w:rPr>
                <w:szCs w:val="22"/>
              </w:rPr>
              <w:t>3.1.1</w:t>
            </w:r>
          </w:p>
        </w:tc>
        <w:tc>
          <w:tcPr>
            <w:tcW w:w="362" w:type="dxa"/>
            <w:shd w:val="clear" w:color="auto" w:fill="auto"/>
          </w:tcPr>
          <w:p w14:paraId="5649DF3E" w14:textId="77777777" w:rsidR="00CD29BD" w:rsidRPr="004870C7" w:rsidRDefault="00CD29BD" w:rsidP="003B2A79">
            <w:pPr>
              <w:rPr>
                <w:szCs w:val="22"/>
              </w:rPr>
            </w:pPr>
          </w:p>
        </w:tc>
        <w:tc>
          <w:tcPr>
            <w:tcW w:w="362" w:type="dxa"/>
            <w:shd w:val="clear" w:color="auto" w:fill="auto"/>
          </w:tcPr>
          <w:p w14:paraId="6B0632E6" w14:textId="77777777" w:rsidR="00CD29BD" w:rsidRPr="004870C7" w:rsidRDefault="00CD29BD" w:rsidP="003B2A79">
            <w:pPr>
              <w:rPr>
                <w:szCs w:val="22"/>
              </w:rPr>
            </w:pPr>
          </w:p>
        </w:tc>
        <w:tc>
          <w:tcPr>
            <w:tcW w:w="362" w:type="dxa"/>
            <w:shd w:val="clear" w:color="auto" w:fill="auto"/>
          </w:tcPr>
          <w:p w14:paraId="67DB988A" w14:textId="77777777" w:rsidR="00CD29BD" w:rsidRPr="004870C7" w:rsidRDefault="00CD29BD" w:rsidP="003B2A79">
            <w:pPr>
              <w:rPr>
                <w:szCs w:val="22"/>
              </w:rPr>
            </w:pPr>
          </w:p>
        </w:tc>
        <w:tc>
          <w:tcPr>
            <w:tcW w:w="362" w:type="dxa"/>
            <w:shd w:val="clear" w:color="auto" w:fill="auto"/>
          </w:tcPr>
          <w:p w14:paraId="6E77D10E" w14:textId="77777777" w:rsidR="00CD29BD" w:rsidRPr="004870C7" w:rsidRDefault="00CD29BD" w:rsidP="003B2A79">
            <w:pPr>
              <w:rPr>
                <w:szCs w:val="22"/>
              </w:rPr>
            </w:pPr>
          </w:p>
        </w:tc>
        <w:tc>
          <w:tcPr>
            <w:tcW w:w="362" w:type="dxa"/>
            <w:shd w:val="clear" w:color="auto" w:fill="auto"/>
          </w:tcPr>
          <w:p w14:paraId="059BE7A5" w14:textId="77777777" w:rsidR="00CD29BD" w:rsidRPr="004870C7" w:rsidRDefault="00CD29BD" w:rsidP="003B2A79">
            <w:pPr>
              <w:rPr>
                <w:szCs w:val="22"/>
              </w:rPr>
            </w:pPr>
          </w:p>
        </w:tc>
        <w:tc>
          <w:tcPr>
            <w:tcW w:w="362" w:type="dxa"/>
            <w:shd w:val="clear" w:color="auto" w:fill="auto"/>
          </w:tcPr>
          <w:p w14:paraId="49126B99" w14:textId="77777777" w:rsidR="00CD29BD" w:rsidRPr="004870C7" w:rsidRDefault="00CD29BD" w:rsidP="003B2A79">
            <w:pPr>
              <w:rPr>
                <w:szCs w:val="22"/>
              </w:rPr>
            </w:pPr>
          </w:p>
        </w:tc>
        <w:tc>
          <w:tcPr>
            <w:tcW w:w="362" w:type="dxa"/>
            <w:shd w:val="clear" w:color="auto" w:fill="auto"/>
          </w:tcPr>
          <w:p w14:paraId="62B6B16F" w14:textId="77777777" w:rsidR="00CD29BD" w:rsidRPr="004870C7" w:rsidRDefault="00CD29BD" w:rsidP="003B2A79">
            <w:pPr>
              <w:rPr>
                <w:szCs w:val="22"/>
              </w:rPr>
            </w:pPr>
          </w:p>
        </w:tc>
        <w:tc>
          <w:tcPr>
            <w:tcW w:w="362" w:type="dxa"/>
            <w:shd w:val="clear" w:color="auto" w:fill="auto"/>
          </w:tcPr>
          <w:p w14:paraId="15C1DBE6" w14:textId="77777777" w:rsidR="00CD29BD" w:rsidRPr="004870C7" w:rsidRDefault="00CD29BD" w:rsidP="003B2A79">
            <w:pPr>
              <w:rPr>
                <w:szCs w:val="22"/>
              </w:rPr>
            </w:pPr>
          </w:p>
        </w:tc>
        <w:tc>
          <w:tcPr>
            <w:tcW w:w="362" w:type="dxa"/>
            <w:shd w:val="clear" w:color="auto" w:fill="auto"/>
          </w:tcPr>
          <w:p w14:paraId="491DC199" w14:textId="77777777" w:rsidR="00CD29BD" w:rsidRPr="004870C7" w:rsidRDefault="00CD29BD" w:rsidP="003B2A79">
            <w:pPr>
              <w:rPr>
                <w:szCs w:val="22"/>
              </w:rPr>
            </w:pPr>
          </w:p>
        </w:tc>
        <w:tc>
          <w:tcPr>
            <w:tcW w:w="362" w:type="dxa"/>
            <w:shd w:val="clear" w:color="auto" w:fill="auto"/>
          </w:tcPr>
          <w:p w14:paraId="1598E985" w14:textId="77777777" w:rsidR="00CD29BD" w:rsidRPr="004870C7" w:rsidRDefault="00CD29BD" w:rsidP="003B2A79">
            <w:pPr>
              <w:rPr>
                <w:szCs w:val="22"/>
              </w:rPr>
            </w:pPr>
          </w:p>
        </w:tc>
        <w:tc>
          <w:tcPr>
            <w:tcW w:w="362" w:type="dxa"/>
            <w:shd w:val="clear" w:color="auto" w:fill="B4C6E7" w:themeFill="accent1" w:themeFillTint="66"/>
          </w:tcPr>
          <w:p w14:paraId="26434C1D" w14:textId="77777777" w:rsidR="00CD29BD" w:rsidRPr="004870C7" w:rsidRDefault="00CD29BD" w:rsidP="003B2A79">
            <w:pPr>
              <w:rPr>
                <w:szCs w:val="22"/>
              </w:rPr>
            </w:pPr>
          </w:p>
        </w:tc>
        <w:tc>
          <w:tcPr>
            <w:tcW w:w="362" w:type="dxa"/>
            <w:shd w:val="clear" w:color="auto" w:fill="B4C6E7" w:themeFill="accent1" w:themeFillTint="66"/>
          </w:tcPr>
          <w:p w14:paraId="7ECBC23B" w14:textId="77777777" w:rsidR="00CD29BD" w:rsidRPr="004870C7" w:rsidRDefault="00CD29BD" w:rsidP="003B2A79">
            <w:pPr>
              <w:rPr>
                <w:szCs w:val="22"/>
              </w:rPr>
            </w:pPr>
          </w:p>
        </w:tc>
        <w:tc>
          <w:tcPr>
            <w:tcW w:w="362" w:type="dxa"/>
            <w:shd w:val="clear" w:color="auto" w:fill="B4C6E7" w:themeFill="accent1" w:themeFillTint="66"/>
          </w:tcPr>
          <w:p w14:paraId="69E75F7F" w14:textId="77777777" w:rsidR="00CD29BD" w:rsidRPr="004870C7" w:rsidRDefault="00CD29BD" w:rsidP="003B2A79">
            <w:pPr>
              <w:rPr>
                <w:szCs w:val="22"/>
              </w:rPr>
            </w:pPr>
          </w:p>
        </w:tc>
        <w:tc>
          <w:tcPr>
            <w:tcW w:w="362" w:type="dxa"/>
            <w:shd w:val="clear" w:color="auto" w:fill="B4C6E7" w:themeFill="accent1" w:themeFillTint="66"/>
          </w:tcPr>
          <w:p w14:paraId="6C4773F6" w14:textId="77777777" w:rsidR="00CD29BD" w:rsidRPr="004870C7" w:rsidRDefault="00CD29BD" w:rsidP="003B2A79">
            <w:pPr>
              <w:rPr>
                <w:szCs w:val="22"/>
              </w:rPr>
            </w:pPr>
          </w:p>
        </w:tc>
        <w:tc>
          <w:tcPr>
            <w:tcW w:w="362" w:type="dxa"/>
            <w:shd w:val="clear" w:color="auto" w:fill="auto"/>
          </w:tcPr>
          <w:p w14:paraId="0C3882A1" w14:textId="77777777" w:rsidR="00CD29BD" w:rsidRPr="004870C7" w:rsidRDefault="00CD29BD" w:rsidP="003B2A79">
            <w:pPr>
              <w:rPr>
                <w:szCs w:val="22"/>
              </w:rPr>
            </w:pPr>
          </w:p>
        </w:tc>
        <w:tc>
          <w:tcPr>
            <w:tcW w:w="362" w:type="dxa"/>
            <w:shd w:val="clear" w:color="auto" w:fill="auto"/>
          </w:tcPr>
          <w:p w14:paraId="6EF82171" w14:textId="77777777" w:rsidR="00CD29BD" w:rsidRPr="004870C7" w:rsidRDefault="00CD29BD" w:rsidP="003B2A79">
            <w:pPr>
              <w:rPr>
                <w:szCs w:val="22"/>
              </w:rPr>
            </w:pPr>
          </w:p>
        </w:tc>
        <w:tc>
          <w:tcPr>
            <w:tcW w:w="362" w:type="dxa"/>
            <w:shd w:val="clear" w:color="auto" w:fill="auto"/>
          </w:tcPr>
          <w:p w14:paraId="4027ECC7" w14:textId="77777777" w:rsidR="00CD29BD" w:rsidRPr="004870C7" w:rsidRDefault="00CD29BD" w:rsidP="003B2A79">
            <w:pPr>
              <w:rPr>
                <w:szCs w:val="22"/>
              </w:rPr>
            </w:pPr>
          </w:p>
        </w:tc>
        <w:tc>
          <w:tcPr>
            <w:tcW w:w="362" w:type="dxa"/>
            <w:shd w:val="clear" w:color="auto" w:fill="auto"/>
          </w:tcPr>
          <w:p w14:paraId="56B36A87" w14:textId="77777777" w:rsidR="00CD29BD" w:rsidRPr="004870C7" w:rsidRDefault="00CD29BD" w:rsidP="003B2A79">
            <w:pPr>
              <w:rPr>
                <w:szCs w:val="22"/>
              </w:rPr>
            </w:pPr>
          </w:p>
        </w:tc>
        <w:tc>
          <w:tcPr>
            <w:tcW w:w="362" w:type="dxa"/>
            <w:shd w:val="clear" w:color="auto" w:fill="auto"/>
          </w:tcPr>
          <w:p w14:paraId="3C0AADE3" w14:textId="77777777" w:rsidR="00CD29BD" w:rsidRPr="004870C7" w:rsidRDefault="00CD29BD" w:rsidP="003B2A79">
            <w:pPr>
              <w:rPr>
                <w:szCs w:val="22"/>
              </w:rPr>
            </w:pPr>
          </w:p>
        </w:tc>
        <w:tc>
          <w:tcPr>
            <w:tcW w:w="362" w:type="dxa"/>
            <w:shd w:val="clear" w:color="auto" w:fill="auto"/>
          </w:tcPr>
          <w:p w14:paraId="00BDA613" w14:textId="77777777" w:rsidR="00CD29BD" w:rsidRPr="004870C7" w:rsidRDefault="00CD29BD" w:rsidP="003B2A79">
            <w:pPr>
              <w:rPr>
                <w:szCs w:val="22"/>
              </w:rPr>
            </w:pPr>
          </w:p>
        </w:tc>
      </w:tr>
      <w:tr w:rsidR="00CD29BD" w:rsidRPr="004870C7" w14:paraId="0BF4C37A" w14:textId="77777777" w:rsidTr="00E27A50">
        <w:tc>
          <w:tcPr>
            <w:tcW w:w="809" w:type="dxa"/>
            <w:vMerge/>
          </w:tcPr>
          <w:p w14:paraId="794D6EC8" w14:textId="77777777" w:rsidR="00CD29BD" w:rsidRPr="004870C7" w:rsidRDefault="00CD29BD" w:rsidP="003B2A79">
            <w:pPr>
              <w:rPr>
                <w:szCs w:val="22"/>
              </w:rPr>
            </w:pPr>
          </w:p>
        </w:tc>
        <w:tc>
          <w:tcPr>
            <w:tcW w:w="739" w:type="dxa"/>
            <w:vMerge/>
            <w:shd w:val="clear" w:color="auto" w:fill="auto"/>
            <w:vAlign w:val="center"/>
          </w:tcPr>
          <w:p w14:paraId="2A9FE1F9" w14:textId="77777777" w:rsidR="00CD29BD" w:rsidRPr="004870C7" w:rsidRDefault="00CD29BD" w:rsidP="00CE078C">
            <w:pPr>
              <w:jc w:val="center"/>
              <w:rPr>
                <w:szCs w:val="22"/>
              </w:rPr>
            </w:pPr>
          </w:p>
        </w:tc>
        <w:tc>
          <w:tcPr>
            <w:tcW w:w="634" w:type="dxa"/>
          </w:tcPr>
          <w:p w14:paraId="52ACD5E9" w14:textId="1C6CBDA5" w:rsidR="00CD29BD" w:rsidRPr="004870C7" w:rsidRDefault="00CD29BD" w:rsidP="003B2A79">
            <w:pPr>
              <w:rPr>
                <w:szCs w:val="22"/>
              </w:rPr>
            </w:pPr>
            <w:r w:rsidRPr="004870C7">
              <w:rPr>
                <w:szCs w:val="22"/>
              </w:rPr>
              <w:t>3.1.2</w:t>
            </w:r>
          </w:p>
        </w:tc>
        <w:tc>
          <w:tcPr>
            <w:tcW w:w="362" w:type="dxa"/>
            <w:shd w:val="clear" w:color="auto" w:fill="auto"/>
          </w:tcPr>
          <w:p w14:paraId="4B973E49" w14:textId="77777777" w:rsidR="00CD29BD" w:rsidRPr="004870C7" w:rsidRDefault="00CD29BD" w:rsidP="003B2A79">
            <w:pPr>
              <w:rPr>
                <w:szCs w:val="22"/>
              </w:rPr>
            </w:pPr>
          </w:p>
        </w:tc>
        <w:tc>
          <w:tcPr>
            <w:tcW w:w="362" w:type="dxa"/>
            <w:shd w:val="clear" w:color="auto" w:fill="auto"/>
          </w:tcPr>
          <w:p w14:paraId="043D4CEA" w14:textId="77777777" w:rsidR="00CD29BD" w:rsidRPr="004870C7" w:rsidRDefault="00CD29BD" w:rsidP="003B2A79">
            <w:pPr>
              <w:rPr>
                <w:szCs w:val="22"/>
              </w:rPr>
            </w:pPr>
          </w:p>
        </w:tc>
        <w:tc>
          <w:tcPr>
            <w:tcW w:w="362" w:type="dxa"/>
            <w:shd w:val="clear" w:color="auto" w:fill="auto"/>
          </w:tcPr>
          <w:p w14:paraId="3EBC710B" w14:textId="77777777" w:rsidR="00CD29BD" w:rsidRPr="004870C7" w:rsidRDefault="00CD29BD" w:rsidP="003B2A79">
            <w:pPr>
              <w:rPr>
                <w:szCs w:val="22"/>
              </w:rPr>
            </w:pPr>
          </w:p>
        </w:tc>
        <w:tc>
          <w:tcPr>
            <w:tcW w:w="362" w:type="dxa"/>
            <w:shd w:val="clear" w:color="auto" w:fill="auto"/>
          </w:tcPr>
          <w:p w14:paraId="5E498A23" w14:textId="77777777" w:rsidR="00CD29BD" w:rsidRPr="004870C7" w:rsidRDefault="00CD29BD" w:rsidP="003B2A79">
            <w:pPr>
              <w:rPr>
                <w:szCs w:val="22"/>
              </w:rPr>
            </w:pPr>
          </w:p>
        </w:tc>
        <w:tc>
          <w:tcPr>
            <w:tcW w:w="362" w:type="dxa"/>
            <w:shd w:val="clear" w:color="auto" w:fill="auto"/>
          </w:tcPr>
          <w:p w14:paraId="46454412" w14:textId="77777777" w:rsidR="00CD29BD" w:rsidRPr="004870C7" w:rsidRDefault="00CD29BD" w:rsidP="003B2A79">
            <w:pPr>
              <w:rPr>
                <w:szCs w:val="22"/>
              </w:rPr>
            </w:pPr>
          </w:p>
        </w:tc>
        <w:tc>
          <w:tcPr>
            <w:tcW w:w="362" w:type="dxa"/>
            <w:shd w:val="clear" w:color="auto" w:fill="auto"/>
          </w:tcPr>
          <w:p w14:paraId="6A513AD5" w14:textId="77777777" w:rsidR="00CD29BD" w:rsidRPr="004870C7" w:rsidRDefault="00CD29BD" w:rsidP="003B2A79">
            <w:pPr>
              <w:rPr>
                <w:szCs w:val="22"/>
              </w:rPr>
            </w:pPr>
          </w:p>
        </w:tc>
        <w:tc>
          <w:tcPr>
            <w:tcW w:w="362" w:type="dxa"/>
            <w:shd w:val="clear" w:color="auto" w:fill="auto"/>
          </w:tcPr>
          <w:p w14:paraId="494AE47B" w14:textId="77777777" w:rsidR="00CD29BD" w:rsidRPr="004870C7" w:rsidRDefault="00CD29BD" w:rsidP="003B2A79">
            <w:pPr>
              <w:rPr>
                <w:szCs w:val="22"/>
              </w:rPr>
            </w:pPr>
          </w:p>
        </w:tc>
        <w:tc>
          <w:tcPr>
            <w:tcW w:w="362" w:type="dxa"/>
            <w:shd w:val="clear" w:color="auto" w:fill="auto"/>
          </w:tcPr>
          <w:p w14:paraId="592C1A20" w14:textId="77777777" w:rsidR="00CD29BD" w:rsidRPr="004870C7" w:rsidRDefault="00CD29BD" w:rsidP="003B2A79">
            <w:pPr>
              <w:rPr>
                <w:szCs w:val="22"/>
              </w:rPr>
            </w:pPr>
          </w:p>
        </w:tc>
        <w:tc>
          <w:tcPr>
            <w:tcW w:w="362" w:type="dxa"/>
            <w:shd w:val="clear" w:color="auto" w:fill="auto"/>
          </w:tcPr>
          <w:p w14:paraId="0BF3167E" w14:textId="77777777" w:rsidR="00CD29BD" w:rsidRPr="004870C7" w:rsidRDefault="00CD29BD" w:rsidP="003B2A79">
            <w:pPr>
              <w:rPr>
                <w:szCs w:val="22"/>
              </w:rPr>
            </w:pPr>
          </w:p>
        </w:tc>
        <w:tc>
          <w:tcPr>
            <w:tcW w:w="362" w:type="dxa"/>
            <w:shd w:val="clear" w:color="auto" w:fill="auto"/>
          </w:tcPr>
          <w:p w14:paraId="07B2A396" w14:textId="77777777" w:rsidR="00CD29BD" w:rsidRPr="004870C7" w:rsidRDefault="00CD29BD" w:rsidP="003B2A79">
            <w:pPr>
              <w:rPr>
                <w:szCs w:val="22"/>
              </w:rPr>
            </w:pPr>
          </w:p>
        </w:tc>
        <w:tc>
          <w:tcPr>
            <w:tcW w:w="362" w:type="dxa"/>
            <w:shd w:val="clear" w:color="auto" w:fill="B4C6E7" w:themeFill="accent1" w:themeFillTint="66"/>
          </w:tcPr>
          <w:p w14:paraId="6B3A73BA" w14:textId="77777777" w:rsidR="00CD29BD" w:rsidRPr="004870C7" w:rsidRDefault="00CD29BD" w:rsidP="003B2A79">
            <w:pPr>
              <w:rPr>
                <w:szCs w:val="22"/>
              </w:rPr>
            </w:pPr>
          </w:p>
        </w:tc>
        <w:tc>
          <w:tcPr>
            <w:tcW w:w="362" w:type="dxa"/>
            <w:shd w:val="clear" w:color="auto" w:fill="B4C6E7" w:themeFill="accent1" w:themeFillTint="66"/>
          </w:tcPr>
          <w:p w14:paraId="3C76964A" w14:textId="77777777" w:rsidR="00CD29BD" w:rsidRPr="004870C7" w:rsidRDefault="00CD29BD" w:rsidP="003B2A79">
            <w:pPr>
              <w:rPr>
                <w:szCs w:val="22"/>
              </w:rPr>
            </w:pPr>
          </w:p>
        </w:tc>
        <w:tc>
          <w:tcPr>
            <w:tcW w:w="362" w:type="dxa"/>
            <w:shd w:val="clear" w:color="auto" w:fill="B4C6E7" w:themeFill="accent1" w:themeFillTint="66"/>
          </w:tcPr>
          <w:p w14:paraId="2C706821" w14:textId="77777777" w:rsidR="00CD29BD" w:rsidRPr="004870C7" w:rsidRDefault="00CD29BD" w:rsidP="003B2A79">
            <w:pPr>
              <w:rPr>
                <w:szCs w:val="22"/>
              </w:rPr>
            </w:pPr>
          </w:p>
        </w:tc>
        <w:tc>
          <w:tcPr>
            <w:tcW w:w="362" w:type="dxa"/>
            <w:shd w:val="clear" w:color="auto" w:fill="B4C6E7" w:themeFill="accent1" w:themeFillTint="66"/>
          </w:tcPr>
          <w:p w14:paraId="6F578C42" w14:textId="77777777" w:rsidR="00CD29BD" w:rsidRPr="004870C7" w:rsidRDefault="00CD29BD" w:rsidP="003B2A79">
            <w:pPr>
              <w:rPr>
                <w:szCs w:val="22"/>
              </w:rPr>
            </w:pPr>
          </w:p>
        </w:tc>
        <w:tc>
          <w:tcPr>
            <w:tcW w:w="362" w:type="dxa"/>
            <w:shd w:val="clear" w:color="auto" w:fill="auto"/>
          </w:tcPr>
          <w:p w14:paraId="0CACAAC1" w14:textId="77777777" w:rsidR="00CD29BD" w:rsidRPr="004870C7" w:rsidRDefault="00CD29BD" w:rsidP="003B2A79">
            <w:pPr>
              <w:rPr>
                <w:szCs w:val="22"/>
              </w:rPr>
            </w:pPr>
          </w:p>
        </w:tc>
        <w:tc>
          <w:tcPr>
            <w:tcW w:w="362" w:type="dxa"/>
            <w:shd w:val="clear" w:color="auto" w:fill="auto"/>
          </w:tcPr>
          <w:p w14:paraId="571F5B72" w14:textId="77777777" w:rsidR="00CD29BD" w:rsidRPr="004870C7" w:rsidRDefault="00CD29BD" w:rsidP="003B2A79">
            <w:pPr>
              <w:rPr>
                <w:szCs w:val="22"/>
              </w:rPr>
            </w:pPr>
          </w:p>
        </w:tc>
        <w:tc>
          <w:tcPr>
            <w:tcW w:w="362" w:type="dxa"/>
            <w:shd w:val="clear" w:color="auto" w:fill="auto"/>
          </w:tcPr>
          <w:p w14:paraId="6903FA21" w14:textId="77777777" w:rsidR="00CD29BD" w:rsidRPr="004870C7" w:rsidRDefault="00CD29BD" w:rsidP="003B2A79">
            <w:pPr>
              <w:rPr>
                <w:szCs w:val="22"/>
              </w:rPr>
            </w:pPr>
          </w:p>
        </w:tc>
        <w:tc>
          <w:tcPr>
            <w:tcW w:w="362" w:type="dxa"/>
            <w:shd w:val="clear" w:color="auto" w:fill="auto"/>
          </w:tcPr>
          <w:p w14:paraId="589FBC66" w14:textId="77777777" w:rsidR="00CD29BD" w:rsidRPr="004870C7" w:rsidRDefault="00CD29BD" w:rsidP="003B2A79">
            <w:pPr>
              <w:rPr>
                <w:szCs w:val="22"/>
              </w:rPr>
            </w:pPr>
          </w:p>
        </w:tc>
        <w:tc>
          <w:tcPr>
            <w:tcW w:w="362" w:type="dxa"/>
            <w:shd w:val="clear" w:color="auto" w:fill="auto"/>
          </w:tcPr>
          <w:p w14:paraId="030B6AED" w14:textId="77777777" w:rsidR="00CD29BD" w:rsidRPr="004870C7" w:rsidRDefault="00CD29BD" w:rsidP="003B2A79">
            <w:pPr>
              <w:rPr>
                <w:szCs w:val="22"/>
              </w:rPr>
            </w:pPr>
          </w:p>
        </w:tc>
        <w:tc>
          <w:tcPr>
            <w:tcW w:w="362" w:type="dxa"/>
            <w:shd w:val="clear" w:color="auto" w:fill="auto"/>
          </w:tcPr>
          <w:p w14:paraId="6811BFB7" w14:textId="77777777" w:rsidR="00CD29BD" w:rsidRPr="004870C7" w:rsidRDefault="00CD29BD" w:rsidP="003B2A79">
            <w:pPr>
              <w:rPr>
                <w:szCs w:val="22"/>
              </w:rPr>
            </w:pPr>
          </w:p>
        </w:tc>
      </w:tr>
      <w:tr w:rsidR="00CD29BD" w:rsidRPr="004870C7" w14:paraId="44E5FADA" w14:textId="77777777" w:rsidTr="00E27A50">
        <w:tc>
          <w:tcPr>
            <w:tcW w:w="809" w:type="dxa"/>
            <w:vMerge/>
          </w:tcPr>
          <w:p w14:paraId="44D644E5" w14:textId="77777777" w:rsidR="00CD29BD" w:rsidRPr="004870C7" w:rsidRDefault="00CD29BD" w:rsidP="003B2A79">
            <w:pPr>
              <w:rPr>
                <w:szCs w:val="22"/>
              </w:rPr>
            </w:pPr>
          </w:p>
        </w:tc>
        <w:tc>
          <w:tcPr>
            <w:tcW w:w="739" w:type="dxa"/>
            <w:vMerge/>
            <w:shd w:val="clear" w:color="auto" w:fill="auto"/>
            <w:vAlign w:val="center"/>
          </w:tcPr>
          <w:p w14:paraId="6B1DDC08" w14:textId="77777777" w:rsidR="00CD29BD" w:rsidRPr="004870C7" w:rsidRDefault="00CD29BD" w:rsidP="00CE078C">
            <w:pPr>
              <w:jc w:val="center"/>
              <w:rPr>
                <w:szCs w:val="22"/>
              </w:rPr>
            </w:pPr>
          </w:p>
        </w:tc>
        <w:tc>
          <w:tcPr>
            <w:tcW w:w="634" w:type="dxa"/>
          </w:tcPr>
          <w:p w14:paraId="738F0CC0" w14:textId="382C27AD" w:rsidR="00CD29BD" w:rsidRPr="004870C7" w:rsidRDefault="00CD29BD" w:rsidP="003B2A79">
            <w:pPr>
              <w:rPr>
                <w:szCs w:val="22"/>
              </w:rPr>
            </w:pPr>
            <w:r w:rsidRPr="004870C7">
              <w:rPr>
                <w:szCs w:val="22"/>
              </w:rPr>
              <w:t>3.1.3</w:t>
            </w:r>
          </w:p>
        </w:tc>
        <w:tc>
          <w:tcPr>
            <w:tcW w:w="362" w:type="dxa"/>
            <w:shd w:val="clear" w:color="auto" w:fill="auto"/>
          </w:tcPr>
          <w:p w14:paraId="51E906AD" w14:textId="77777777" w:rsidR="00CD29BD" w:rsidRPr="004870C7" w:rsidRDefault="00CD29BD" w:rsidP="003B2A79">
            <w:pPr>
              <w:rPr>
                <w:szCs w:val="22"/>
              </w:rPr>
            </w:pPr>
          </w:p>
        </w:tc>
        <w:tc>
          <w:tcPr>
            <w:tcW w:w="362" w:type="dxa"/>
            <w:shd w:val="clear" w:color="auto" w:fill="auto"/>
          </w:tcPr>
          <w:p w14:paraId="73B20E76" w14:textId="77777777" w:rsidR="00CD29BD" w:rsidRPr="004870C7" w:rsidRDefault="00CD29BD" w:rsidP="003B2A79">
            <w:pPr>
              <w:rPr>
                <w:szCs w:val="22"/>
              </w:rPr>
            </w:pPr>
          </w:p>
        </w:tc>
        <w:tc>
          <w:tcPr>
            <w:tcW w:w="362" w:type="dxa"/>
            <w:shd w:val="clear" w:color="auto" w:fill="auto"/>
          </w:tcPr>
          <w:p w14:paraId="10E1A920" w14:textId="77777777" w:rsidR="00CD29BD" w:rsidRPr="004870C7" w:rsidRDefault="00CD29BD" w:rsidP="003B2A79">
            <w:pPr>
              <w:rPr>
                <w:szCs w:val="22"/>
              </w:rPr>
            </w:pPr>
          </w:p>
        </w:tc>
        <w:tc>
          <w:tcPr>
            <w:tcW w:w="362" w:type="dxa"/>
            <w:shd w:val="clear" w:color="auto" w:fill="auto"/>
          </w:tcPr>
          <w:p w14:paraId="3C21E59A" w14:textId="77777777" w:rsidR="00CD29BD" w:rsidRPr="004870C7" w:rsidRDefault="00CD29BD" w:rsidP="003B2A79">
            <w:pPr>
              <w:rPr>
                <w:szCs w:val="22"/>
              </w:rPr>
            </w:pPr>
          </w:p>
        </w:tc>
        <w:tc>
          <w:tcPr>
            <w:tcW w:w="362" w:type="dxa"/>
            <w:shd w:val="clear" w:color="auto" w:fill="auto"/>
          </w:tcPr>
          <w:p w14:paraId="7B720887" w14:textId="77777777" w:rsidR="00CD29BD" w:rsidRPr="004870C7" w:rsidRDefault="00CD29BD" w:rsidP="003B2A79">
            <w:pPr>
              <w:rPr>
                <w:szCs w:val="22"/>
              </w:rPr>
            </w:pPr>
          </w:p>
        </w:tc>
        <w:tc>
          <w:tcPr>
            <w:tcW w:w="362" w:type="dxa"/>
            <w:shd w:val="clear" w:color="auto" w:fill="auto"/>
          </w:tcPr>
          <w:p w14:paraId="60BE1D19" w14:textId="77777777" w:rsidR="00CD29BD" w:rsidRPr="004870C7" w:rsidRDefault="00CD29BD" w:rsidP="003B2A79">
            <w:pPr>
              <w:rPr>
                <w:szCs w:val="22"/>
              </w:rPr>
            </w:pPr>
          </w:p>
        </w:tc>
        <w:tc>
          <w:tcPr>
            <w:tcW w:w="362" w:type="dxa"/>
            <w:shd w:val="clear" w:color="auto" w:fill="auto"/>
          </w:tcPr>
          <w:p w14:paraId="786F443C" w14:textId="77777777" w:rsidR="00CD29BD" w:rsidRPr="004870C7" w:rsidRDefault="00CD29BD" w:rsidP="003B2A79">
            <w:pPr>
              <w:rPr>
                <w:szCs w:val="22"/>
              </w:rPr>
            </w:pPr>
          </w:p>
        </w:tc>
        <w:tc>
          <w:tcPr>
            <w:tcW w:w="362" w:type="dxa"/>
            <w:shd w:val="clear" w:color="auto" w:fill="auto"/>
          </w:tcPr>
          <w:p w14:paraId="5F99B12C" w14:textId="77777777" w:rsidR="00CD29BD" w:rsidRPr="004870C7" w:rsidRDefault="00CD29BD" w:rsidP="003B2A79">
            <w:pPr>
              <w:rPr>
                <w:szCs w:val="22"/>
              </w:rPr>
            </w:pPr>
          </w:p>
        </w:tc>
        <w:tc>
          <w:tcPr>
            <w:tcW w:w="362" w:type="dxa"/>
            <w:shd w:val="clear" w:color="auto" w:fill="auto"/>
          </w:tcPr>
          <w:p w14:paraId="262EDD19" w14:textId="77777777" w:rsidR="00CD29BD" w:rsidRPr="004870C7" w:rsidRDefault="00CD29BD" w:rsidP="003B2A79">
            <w:pPr>
              <w:rPr>
                <w:szCs w:val="22"/>
              </w:rPr>
            </w:pPr>
          </w:p>
        </w:tc>
        <w:tc>
          <w:tcPr>
            <w:tcW w:w="362" w:type="dxa"/>
            <w:shd w:val="clear" w:color="auto" w:fill="auto"/>
          </w:tcPr>
          <w:p w14:paraId="6EE4C213" w14:textId="77777777" w:rsidR="00CD29BD" w:rsidRPr="004870C7" w:rsidRDefault="00CD29BD" w:rsidP="003B2A79">
            <w:pPr>
              <w:rPr>
                <w:szCs w:val="22"/>
              </w:rPr>
            </w:pPr>
          </w:p>
        </w:tc>
        <w:tc>
          <w:tcPr>
            <w:tcW w:w="362" w:type="dxa"/>
            <w:shd w:val="clear" w:color="auto" w:fill="B4C6E7" w:themeFill="accent1" w:themeFillTint="66"/>
          </w:tcPr>
          <w:p w14:paraId="58F6435E" w14:textId="77777777" w:rsidR="00CD29BD" w:rsidRPr="004870C7" w:rsidRDefault="00CD29BD" w:rsidP="003B2A79">
            <w:pPr>
              <w:rPr>
                <w:szCs w:val="22"/>
              </w:rPr>
            </w:pPr>
          </w:p>
        </w:tc>
        <w:tc>
          <w:tcPr>
            <w:tcW w:w="362" w:type="dxa"/>
            <w:shd w:val="clear" w:color="auto" w:fill="B4C6E7" w:themeFill="accent1" w:themeFillTint="66"/>
          </w:tcPr>
          <w:p w14:paraId="7A835FB6" w14:textId="77777777" w:rsidR="00CD29BD" w:rsidRPr="004870C7" w:rsidRDefault="00CD29BD" w:rsidP="003B2A79">
            <w:pPr>
              <w:rPr>
                <w:szCs w:val="22"/>
              </w:rPr>
            </w:pPr>
          </w:p>
        </w:tc>
        <w:tc>
          <w:tcPr>
            <w:tcW w:w="362" w:type="dxa"/>
            <w:shd w:val="clear" w:color="auto" w:fill="B4C6E7" w:themeFill="accent1" w:themeFillTint="66"/>
          </w:tcPr>
          <w:p w14:paraId="1CFBBEE8" w14:textId="77777777" w:rsidR="00CD29BD" w:rsidRPr="004870C7" w:rsidRDefault="00CD29BD" w:rsidP="003B2A79">
            <w:pPr>
              <w:rPr>
                <w:szCs w:val="22"/>
              </w:rPr>
            </w:pPr>
          </w:p>
        </w:tc>
        <w:tc>
          <w:tcPr>
            <w:tcW w:w="362" w:type="dxa"/>
            <w:shd w:val="clear" w:color="auto" w:fill="B4C6E7" w:themeFill="accent1" w:themeFillTint="66"/>
          </w:tcPr>
          <w:p w14:paraId="00D79271" w14:textId="77777777" w:rsidR="00CD29BD" w:rsidRPr="004870C7" w:rsidRDefault="00CD29BD" w:rsidP="003B2A79">
            <w:pPr>
              <w:rPr>
                <w:szCs w:val="22"/>
              </w:rPr>
            </w:pPr>
          </w:p>
        </w:tc>
        <w:tc>
          <w:tcPr>
            <w:tcW w:w="362" w:type="dxa"/>
            <w:shd w:val="clear" w:color="auto" w:fill="auto"/>
          </w:tcPr>
          <w:p w14:paraId="6919A974" w14:textId="77777777" w:rsidR="00CD29BD" w:rsidRPr="004870C7" w:rsidRDefault="00CD29BD" w:rsidP="003B2A79">
            <w:pPr>
              <w:rPr>
                <w:szCs w:val="22"/>
              </w:rPr>
            </w:pPr>
          </w:p>
        </w:tc>
        <w:tc>
          <w:tcPr>
            <w:tcW w:w="362" w:type="dxa"/>
            <w:shd w:val="clear" w:color="auto" w:fill="auto"/>
          </w:tcPr>
          <w:p w14:paraId="1886AE05" w14:textId="77777777" w:rsidR="00CD29BD" w:rsidRPr="004870C7" w:rsidRDefault="00CD29BD" w:rsidP="003B2A79">
            <w:pPr>
              <w:rPr>
                <w:szCs w:val="22"/>
              </w:rPr>
            </w:pPr>
          </w:p>
        </w:tc>
        <w:tc>
          <w:tcPr>
            <w:tcW w:w="362" w:type="dxa"/>
            <w:shd w:val="clear" w:color="auto" w:fill="auto"/>
          </w:tcPr>
          <w:p w14:paraId="01CEC3D2" w14:textId="77777777" w:rsidR="00CD29BD" w:rsidRPr="004870C7" w:rsidRDefault="00CD29BD" w:rsidP="003B2A79">
            <w:pPr>
              <w:rPr>
                <w:szCs w:val="22"/>
              </w:rPr>
            </w:pPr>
          </w:p>
        </w:tc>
        <w:tc>
          <w:tcPr>
            <w:tcW w:w="362" w:type="dxa"/>
            <w:shd w:val="clear" w:color="auto" w:fill="auto"/>
          </w:tcPr>
          <w:p w14:paraId="743B0622" w14:textId="77777777" w:rsidR="00CD29BD" w:rsidRPr="004870C7" w:rsidRDefault="00CD29BD" w:rsidP="003B2A79">
            <w:pPr>
              <w:rPr>
                <w:szCs w:val="22"/>
              </w:rPr>
            </w:pPr>
          </w:p>
        </w:tc>
        <w:tc>
          <w:tcPr>
            <w:tcW w:w="362" w:type="dxa"/>
            <w:shd w:val="clear" w:color="auto" w:fill="auto"/>
          </w:tcPr>
          <w:p w14:paraId="1767450F" w14:textId="77777777" w:rsidR="00CD29BD" w:rsidRPr="004870C7" w:rsidRDefault="00CD29BD" w:rsidP="003B2A79">
            <w:pPr>
              <w:rPr>
                <w:szCs w:val="22"/>
              </w:rPr>
            </w:pPr>
          </w:p>
        </w:tc>
        <w:tc>
          <w:tcPr>
            <w:tcW w:w="362" w:type="dxa"/>
            <w:shd w:val="clear" w:color="auto" w:fill="auto"/>
          </w:tcPr>
          <w:p w14:paraId="6FD120D8" w14:textId="77777777" w:rsidR="00CD29BD" w:rsidRPr="004870C7" w:rsidRDefault="00CD29BD" w:rsidP="003B2A79">
            <w:pPr>
              <w:rPr>
                <w:szCs w:val="22"/>
              </w:rPr>
            </w:pPr>
          </w:p>
        </w:tc>
      </w:tr>
      <w:tr w:rsidR="00CD29BD" w:rsidRPr="004870C7" w14:paraId="4B641CC9" w14:textId="77777777" w:rsidTr="00E27A50">
        <w:tc>
          <w:tcPr>
            <w:tcW w:w="809" w:type="dxa"/>
            <w:vMerge/>
          </w:tcPr>
          <w:p w14:paraId="39590617" w14:textId="77777777" w:rsidR="00CD29BD" w:rsidRPr="004870C7" w:rsidRDefault="00CD29BD" w:rsidP="003B2A79">
            <w:pPr>
              <w:rPr>
                <w:szCs w:val="22"/>
              </w:rPr>
            </w:pPr>
          </w:p>
        </w:tc>
        <w:tc>
          <w:tcPr>
            <w:tcW w:w="739" w:type="dxa"/>
            <w:vMerge/>
            <w:shd w:val="clear" w:color="auto" w:fill="auto"/>
            <w:vAlign w:val="center"/>
          </w:tcPr>
          <w:p w14:paraId="274B7AA5" w14:textId="77777777" w:rsidR="00CD29BD" w:rsidRPr="004870C7" w:rsidRDefault="00CD29BD" w:rsidP="00CE078C">
            <w:pPr>
              <w:jc w:val="center"/>
              <w:rPr>
                <w:szCs w:val="22"/>
              </w:rPr>
            </w:pPr>
          </w:p>
        </w:tc>
        <w:tc>
          <w:tcPr>
            <w:tcW w:w="634" w:type="dxa"/>
          </w:tcPr>
          <w:p w14:paraId="15ACE110" w14:textId="3B983251" w:rsidR="00CD29BD" w:rsidRPr="004870C7" w:rsidRDefault="00CD29BD" w:rsidP="003B2A79">
            <w:pPr>
              <w:rPr>
                <w:szCs w:val="22"/>
              </w:rPr>
            </w:pPr>
            <w:r w:rsidRPr="004870C7">
              <w:rPr>
                <w:szCs w:val="22"/>
              </w:rPr>
              <w:t>3.1.4</w:t>
            </w:r>
          </w:p>
        </w:tc>
        <w:tc>
          <w:tcPr>
            <w:tcW w:w="362" w:type="dxa"/>
            <w:shd w:val="clear" w:color="auto" w:fill="auto"/>
          </w:tcPr>
          <w:p w14:paraId="2442E37A" w14:textId="77777777" w:rsidR="00CD29BD" w:rsidRPr="004870C7" w:rsidRDefault="00CD29BD" w:rsidP="003B2A79">
            <w:pPr>
              <w:rPr>
                <w:szCs w:val="22"/>
              </w:rPr>
            </w:pPr>
          </w:p>
        </w:tc>
        <w:tc>
          <w:tcPr>
            <w:tcW w:w="362" w:type="dxa"/>
            <w:shd w:val="clear" w:color="auto" w:fill="auto"/>
          </w:tcPr>
          <w:p w14:paraId="351D8FCB" w14:textId="77777777" w:rsidR="00CD29BD" w:rsidRPr="004870C7" w:rsidRDefault="00CD29BD" w:rsidP="003B2A79">
            <w:pPr>
              <w:rPr>
                <w:szCs w:val="22"/>
              </w:rPr>
            </w:pPr>
          </w:p>
        </w:tc>
        <w:tc>
          <w:tcPr>
            <w:tcW w:w="362" w:type="dxa"/>
            <w:shd w:val="clear" w:color="auto" w:fill="auto"/>
          </w:tcPr>
          <w:p w14:paraId="4A223BBB" w14:textId="77777777" w:rsidR="00CD29BD" w:rsidRPr="004870C7" w:rsidRDefault="00CD29BD" w:rsidP="003B2A79">
            <w:pPr>
              <w:rPr>
                <w:szCs w:val="22"/>
              </w:rPr>
            </w:pPr>
          </w:p>
        </w:tc>
        <w:tc>
          <w:tcPr>
            <w:tcW w:w="362" w:type="dxa"/>
            <w:shd w:val="clear" w:color="auto" w:fill="auto"/>
          </w:tcPr>
          <w:p w14:paraId="1E5A5EBC" w14:textId="77777777" w:rsidR="00CD29BD" w:rsidRPr="004870C7" w:rsidRDefault="00CD29BD" w:rsidP="003B2A79">
            <w:pPr>
              <w:rPr>
                <w:szCs w:val="22"/>
              </w:rPr>
            </w:pPr>
          </w:p>
        </w:tc>
        <w:tc>
          <w:tcPr>
            <w:tcW w:w="362" w:type="dxa"/>
            <w:shd w:val="clear" w:color="auto" w:fill="auto"/>
          </w:tcPr>
          <w:p w14:paraId="0BF1180F" w14:textId="77777777" w:rsidR="00CD29BD" w:rsidRPr="004870C7" w:rsidRDefault="00CD29BD" w:rsidP="003B2A79">
            <w:pPr>
              <w:rPr>
                <w:szCs w:val="22"/>
              </w:rPr>
            </w:pPr>
          </w:p>
        </w:tc>
        <w:tc>
          <w:tcPr>
            <w:tcW w:w="362" w:type="dxa"/>
            <w:shd w:val="clear" w:color="auto" w:fill="auto"/>
          </w:tcPr>
          <w:p w14:paraId="3B34AF0C" w14:textId="77777777" w:rsidR="00CD29BD" w:rsidRPr="004870C7" w:rsidRDefault="00CD29BD" w:rsidP="003B2A79">
            <w:pPr>
              <w:rPr>
                <w:szCs w:val="22"/>
              </w:rPr>
            </w:pPr>
          </w:p>
        </w:tc>
        <w:tc>
          <w:tcPr>
            <w:tcW w:w="362" w:type="dxa"/>
            <w:shd w:val="clear" w:color="auto" w:fill="auto"/>
          </w:tcPr>
          <w:p w14:paraId="6F2C30A7" w14:textId="77777777" w:rsidR="00CD29BD" w:rsidRPr="004870C7" w:rsidRDefault="00CD29BD" w:rsidP="003B2A79">
            <w:pPr>
              <w:rPr>
                <w:szCs w:val="22"/>
              </w:rPr>
            </w:pPr>
          </w:p>
        </w:tc>
        <w:tc>
          <w:tcPr>
            <w:tcW w:w="362" w:type="dxa"/>
            <w:shd w:val="clear" w:color="auto" w:fill="auto"/>
          </w:tcPr>
          <w:p w14:paraId="0D5379F2" w14:textId="77777777" w:rsidR="00CD29BD" w:rsidRPr="004870C7" w:rsidRDefault="00CD29BD" w:rsidP="003B2A79">
            <w:pPr>
              <w:rPr>
                <w:szCs w:val="22"/>
              </w:rPr>
            </w:pPr>
          </w:p>
        </w:tc>
        <w:tc>
          <w:tcPr>
            <w:tcW w:w="362" w:type="dxa"/>
            <w:shd w:val="clear" w:color="auto" w:fill="auto"/>
          </w:tcPr>
          <w:p w14:paraId="5679F561" w14:textId="77777777" w:rsidR="00CD29BD" w:rsidRPr="004870C7" w:rsidRDefault="00CD29BD" w:rsidP="003B2A79">
            <w:pPr>
              <w:rPr>
                <w:szCs w:val="22"/>
              </w:rPr>
            </w:pPr>
          </w:p>
        </w:tc>
        <w:tc>
          <w:tcPr>
            <w:tcW w:w="362" w:type="dxa"/>
            <w:shd w:val="clear" w:color="auto" w:fill="auto"/>
          </w:tcPr>
          <w:p w14:paraId="1FC77A7C" w14:textId="77777777" w:rsidR="00CD29BD" w:rsidRPr="004870C7" w:rsidRDefault="00CD29BD" w:rsidP="003B2A79">
            <w:pPr>
              <w:rPr>
                <w:szCs w:val="22"/>
              </w:rPr>
            </w:pPr>
          </w:p>
        </w:tc>
        <w:tc>
          <w:tcPr>
            <w:tcW w:w="362" w:type="dxa"/>
            <w:shd w:val="clear" w:color="auto" w:fill="B4C6E7" w:themeFill="accent1" w:themeFillTint="66"/>
          </w:tcPr>
          <w:p w14:paraId="42B29E45" w14:textId="77777777" w:rsidR="00CD29BD" w:rsidRPr="004870C7" w:rsidRDefault="00CD29BD" w:rsidP="003B2A79">
            <w:pPr>
              <w:rPr>
                <w:szCs w:val="22"/>
              </w:rPr>
            </w:pPr>
          </w:p>
        </w:tc>
        <w:tc>
          <w:tcPr>
            <w:tcW w:w="362" w:type="dxa"/>
            <w:shd w:val="clear" w:color="auto" w:fill="B4C6E7" w:themeFill="accent1" w:themeFillTint="66"/>
          </w:tcPr>
          <w:p w14:paraId="596E91E2" w14:textId="77777777" w:rsidR="00CD29BD" w:rsidRPr="004870C7" w:rsidRDefault="00CD29BD" w:rsidP="003B2A79">
            <w:pPr>
              <w:rPr>
                <w:szCs w:val="22"/>
              </w:rPr>
            </w:pPr>
          </w:p>
        </w:tc>
        <w:tc>
          <w:tcPr>
            <w:tcW w:w="362" w:type="dxa"/>
            <w:shd w:val="clear" w:color="auto" w:fill="B4C6E7" w:themeFill="accent1" w:themeFillTint="66"/>
          </w:tcPr>
          <w:p w14:paraId="01DF7C9F" w14:textId="77777777" w:rsidR="00CD29BD" w:rsidRPr="004870C7" w:rsidRDefault="00CD29BD" w:rsidP="003B2A79">
            <w:pPr>
              <w:rPr>
                <w:szCs w:val="22"/>
              </w:rPr>
            </w:pPr>
          </w:p>
        </w:tc>
        <w:tc>
          <w:tcPr>
            <w:tcW w:w="362" w:type="dxa"/>
            <w:shd w:val="clear" w:color="auto" w:fill="B4C6E7" w:themeFill="accent1" w:themeFillTint="66"/>
          </w:tcPr>
          <w:p w14:paraId="75BC9A5A" w14:textId="77777777" w:rsidR="00CD29BD" w:rsidRPr="004870C7" w:rsidRDefault="00CD29BD" w:rsidP="003B2A79">
            <w:pPr>
              <w:rPr>
                <w:szCs w:val="22"/>
              </w:rPr>
            </w:pPr>
          </w:p>
        </w:tc>
        <w:tc>
          <w:tcPr>
            <w:tcW w:w="362" w:type="dxa"/>
            <w:shd w:val="clear" w:color="auto" w:fill="auto"/>
          </w:tcPr>
          <w:p w14:paraId="5F7A708C" w14:textId="77777777" w:rsidR="00CD29BD" w:rsidRPr="004870C7" w:rsidRDefault="00CD29BD" w:rsidP="003B2A79">
            <w:pPr>
              <w:rPr>
                <w:szCs w:val="22"/>
              </w:rPr>
            </w:pPr>
          </w:p>
        </w:tc>
        <w:tc>
          <w:tcPr>
            <w:tcW w:w="362" w:type="dxa"/>
            <w:shd w:val="clear" w:color="auto" w:fill="auto"/>
          </w:tcPr>
          <w:p w14:paraId="773C9362" w14:textId="77777777" w:rsidR="00CD29BD" w:rsidRPr="004870C7" w:rsidRDefault="00CD29BD" w:rsidP="003B2A79">
            <w:pPr>
              <w:rPr>
                <w:szCs w:val="22"/>
              </w:rPr>
            </w:pPr>
          </w:p>
        </w:tc>
        <w:tc>
          <w:tcPr>
            <w:tcW w:w="362" w:type="dxa"/>
            <w:shd w:val="clear" w:color="auto" w:fill="auto"/>
          </w:tcPr>
          <w:p w14:paraId="69EEFF59" w14:textId="77777777" w:rsidR="00CD29BD" w:rsidRPr="004870C7" w:rsidRDefault="00CD29BD" w:rsidP="003B2A79">
            <w:pPr>
              <w:rPr>
                <w:szCs w:val="22"/>
              </w:rPr>
            </w:pPr>
          </w:p>
        </w:tc>
        <w:tc>
          <w:tcPr>
            <w:tcW w:w="362" w:type="dxa"/>
            <w:shd w:val="clear" w:color="auto" w:fill="auto"/>
          </w:tcPr>
          <w:p w14:paraId="10C6F724" w14:textId="77777777" w:rsidR="00CD29BD" w:rsidRPr="004870C7" w:rsidRDefault="00CD29BD" w:rsidP="003B2A79">
            <w:pPr>
              <w:rPr>
                <w:szCs w:val="22"/>
              </w:rPr>
            </w:pPr>
          </w:p>
        </w:tc>
        <w:tc>
          <w:tcPr>
            <w:tcW w:w="362" w:type="dxa"/>
            <w:shd w:val="clear" w:color="auto" w:fill="auto"/>
          </w:tcPr>
          <w:p w14:paraId="3C03D295" w14:textId="77777777" w:rsidR="00CD29BD" w:rsidRPr="004870C7" w:rsidRDefault="00CD29BD" w:rsidP="003B2A79">
            <w:pPr>
              <w:rPr>
                <w:szCs w:val="22"/>
              </w:rPr>
            </w:pPr>
          </w:p>
        </w:tc>
        <w:tc>
          <w:tcPr>
            <w:tcW w:w="362" w:type="dxa"/>
            <w:shd w:val="clear" w:color="auto" w:fill="auto"/>
          </w:tcPr>
          <w:p w14:paraId="79B261F0" w14:textId="77777777" w:rsidR="00CD29BD" w:rsidRPr="004870C7" w:rsidRDefault="00CD29BD" w:rsidP="003B2A79">
            <w:pPr>
              <w:rPr>
                <w:szCs w:val="22"/>
              </w:rPr>
            </w:pPr>
          </w:p>
        </w:tc>
      </w:tr>
      <w:tr w:rsidR="00CD29BD" w:rsidRPr="004870C7" w14:paraId="380E2ABD" w14:textId="77777777" w:rsidTr="00E27A50">
        <w:tc>
          <w:tcPr>
            <w:tcW w:w="809" w:type="dxa"/>
            <w:vMerge/>
          </w:tcPr>
          <w:p w14:paraId="0A3F2C0E" w14:textId="77777777" w:rsidR="00CD29BD" w:rsidRPr="004870C7" w:rsidRDefault="00CD29BD" w:rsidP="003B2A79">
            <w:pPr>
              <w:rPr>
                <w:szCs w:val="22"/>
              </w:rPr>
            </w:pPr>
          </w:p>
        </w:tc>
        <w:tc>
          <w:tcPr>
            <w:tcW w:w="739" w:type="dxa"/>
            <w:vMerge w:val="restart"/>
            <w:shd w:val="clear" w:color="auto" w:fill="auto"/>
            <w:vAlign w:val="center"/>
          </w:tcPr>
          <w:p w14:paraId="3489D214" w14:textId="6B450D26" w:rsidR="00CD29BD" w:rsidRPr="004870C7" w:rsidRDefault="00CD29BD" w:rsidP="00CE078C">
            <w:pPr>
              <w:jc w:val="center"/>
              <w:rPr>
                <w:szCs w:val="22"/>
              </w:rPr>
            </w:pPr>
            <w:r w:rsidRPr="004870C7">
              <w:rPr>
                <w:szCs w:val="22"/>
              </w:rPr>
              <w:t>3.2</w:t>
            </w:r>
          </w:p>
        </w:tc>
        <w:tc>
          <w:tcPr>
            <w:tcW w:w="634" w:type="dxa"/>
          </w:tcPr>
          <w:p w14:paraId="264D1D90" w14:textId="5C91E8F4" w:rsidR="00CD29BD" w:rsidRPr="004870C7" w:rsidRDefault="00CD29BD" w:rsidP="003B2A79">
            <w:pPr>
              <w:rPr>
                <w:szCs w:val="22"/>
              </w:rPr>
            </w:pPr>
            <w:r w:rsidRPr="004870C7">
              <w:rPr>
                <w:szCs w:val="22"/>
              </w:rPr>
              <w:t>3.2.1</w:t>
            </w:r>
          </w:p>
        </w:tc>
        <w:tc>
          <w:tcPr>
            <w:tcW w:w="362" w:type="dxa"/>
            <w:shd w:val="clear" w:color="auto" w:fill="auto"/>
          </w:tcPr>
          <w:p w14:paraId="7773DE0C" w14:textId="77777777" w:rsidR="00CD29BD" w:rsidRPr="004870C7" w:rsidRDefault="00CD29BD" w:rsidP="003B2A79">
            <w:pPr>
              <w:rPr>
                <w:szCs w:val="22"/>
              </w:rPr>
            </w:pPr>
          </w:p>
        </w:tc>
        <w:tc>
          <w:tcPr>
            <w:tcW w:w="362" w:type="dxa"/>
            <w:shd w:val="clear" w:color="auto" w:fill="auto"/>
          </w:tcPr>
          <w:p w14:paraId="331A702A" w14:textId="77777777" w:rsidR="00CD29BD" w:rsidRPr="004870C7" w:rsidRDefault="00CD29BD" w:rsidP="003B2A79">
            <w:pPr>
              <w:rPr>
                <w:szCs w:val="22"/>
              </w:rPr>
            </w:pPr>
          </w:p>
        </w:tc>
        <w:tc>
          <w:tcPr>
            <w:tcW w:w="362" w:type="dxa"/>
            <w:shd w:val="clear" w:color="auto" w:fill="auto"/>
          </w:tcPr>
          <w:p w14:paraId="184DD433" w14:textId="77777777" w:rsidR="00CD29BD" w:rsidRPr="004870C7" w:rsidRDefault="00CD29BD" w:rsidP="003B2A79">
            <w:pPr>
              <w:rPr>
                <w:szCs w:val="22"/>
              </w:rPr>
            </w:pPr>
          </w:p>
        </w:tc>
        <w:tc>
          <w:tcPr>
            <w:tcW w:w="362" w:type="dxa"/>
            <w:shd w:val="clear" w:color="auto" w:fill="auto"/>
          </w:tcPr>
          <w:p w14:paraId="7CD2734D" w14:textId="77777777" w:rsidR="00CD29BD" w:rsidRPr="004870C7" w:rsidRDefault="00CD29BD" w:rsidP="003B2A79">
            <w:pPr>
              <w:rPr>
                <w:szCs w:val="22"/>
              </w:rPr>
            </w:pPr>
          </w:p>
        </w:tc>
        <w:tc>
          <w:tcPr>
            <w:tcW w:w="362" w:type="dxa"/>
            <w:shd w:val="clear" w:color="auto" w:fill="auto"/>
          </w:tcPr>
          <w:p w14:paraId="309E5BD1" w14:textId="77777777" w:rsidR="00CD29BD" w:rsidRPr="004870C7" w:rsidRDefault="00CD29BD" w:rsidP="003B2A79">
            <w:pPr>
              <w:rPr>
                <w:szCs w:val="22"/>
              </w:rPr>
            </w:pPr>
          </w:p>
        </w:tc>
        <w:tc>
          <w:tcPr>
            <w:tcW w:w="362" w:type="dxa"/>
            <w:shd w:val="clear" w:color="auto" w:fill="auto"/>
          </w:tcPr>
          <w:p w14:paraId="46352ABB" w14:textId="77777777" w:rsidR="00CD29BD" w:rsidRPr="004870C7" w:rsidRDefault="00CD29BD" w:rsidP="003B2A79">
            <w:pPr>
              <w:rPr>
                <w:szCs w:val="22"/>
              </w:rPr>
            </w:pPr>
          </w:p>
        </w:tc>
        <w:tc>
          <w:tcPr>
            <w:tcW w:w="362" w:type="dxa"/>
            <w:shd w:val="clear" w:color="auto" w:fill="auto"/>
          </w:tcPr>
          <w:p w14:paraId="00B51E8E" w14:textId="77777777" w:rsidR="00CD29BD" w:rsidRPr="004870C7" w:rsidRDefault="00CD29BD" w:rsidP="003B2A79">
            <w:pPr>
              <w:rPr>
                <w:szCs w:val="22"/>
              </w:rPr>
            </w:pPr>
          </w:p>
        </w:tc>
        <w:tc>
          <w:tcPr>
            <w:tcW w:w="362" w:type="dxa"/>
            <w:shd w:val="clear" w:color="auto" w:fill="auto"/>
          </w:tcPr>
          <w:p w14:paraId="3F61E02A" w14:textId="77777777" w:rsidR="00CD29BD" w:rsidRPr="004870C7" w:rsidRDefault="00CD29BD" w:rsidP="003B2A79">
            <w:pPr>
              <w:rPr>
                <w:szCs w:val="22"/>
              </w:rPr>
            </w:pPr>
          </w:p>
        </w:tc>
        <w:tc>
          <w:tcPr>
            <w:tcW w:w="362" w:type="dxa"/>
            <w:shd w:val="clear" w:color="auto" w:fill="auto"/>
          </w:tcPr>
          <w:p w14:paraId="28E1760A" w14:textId="77777777" w:rsidR="00CD29BD" w:rsidRPr="004870C7" w:rsidRDefault="00CD29BD" w:rsidP="003B2A79">
            <w:pPr>
              <w:rPr>
                <w:szCs w:val="22"/>
              </w:rPr>
            </w:pPr>
          </w:p>
        </w:tc>
        <w:tc>
          <w:tcPr>
            <w:tcW w:w="362" w:type="dxa"/>
            <w:shd w:val="clear" w:color="auto" w:fill="auto"/>
          </w:tcPr>
          <w:p w14:paraId="6C7A2736" w14:textId="77777777" w:rsidR="00CD29BD" w:rsidRPr="004870C7" w:rsidRDefault="00CD29BD" w:rsidP="003B2A79">
            <w:pPr>
              <w:rPr>
                <w:szCs w:val="22"/>
              </w:rPr>
            </w:pPr>
          </w:p>
        </w:tc>
        <w:tc>
          <w:tcPr>
            <w:tcW w:w="362" w:type="dxa"/>
            <w:shd w:val="clear" w:color="auto" w:fill="B4C6E7" w:themeFill="accent1" w:themeFillTint="66"/>
          </w:tcPr>
          <w:p w14:paraId="253F2AB2" w14:textId="77777777" w:rsidR="00CD29BD" w:rsidRPr="004870C7" w:rsidRDefault="00CD29BD" w:rsidP="003B2A79">
            <w:pPr>
              <w:rPr>
                <w:szCs w:val="22"/>
              </w:rPr>
            </w:pPr>
          </w:p>
        </w:tc>
        <w:tc>
          <w:tcPr>
            <w:tcW w:w="362" w:type="dxa"/>
            <w:shd w:val="clear" w:color="auto" w:fill="B4C6E7" w:themeFill="accent1" w:themeFillTint="66"/>
          </w:tcPr>
          <w:p w14:paraId="0355ADAF" w14:textId="77777777" w:rsidR="00CD29BD" w:rsidRPr="004870C7" w:rsidRDefault="00CD29BD" w:rsidP="003B2A79">
            <w:pPr>
              <w:rPr>
                <w:szCs w:val="22"/>
              </w:rPr>
            </w:pPr>
          </w:p>
        </w:tc>
        <w:tc>
          <w:tcPr>
            <w:tcW w:w="362" w:type="dxa"/>
            <w:shd w:val="clear" w:color="auto" w:fill="B4C6E7" w:themeFill="accent1" w:themeFillTint="66"/>
          </w:tcPr>
          <w:p w14:paraId="08F4BCD6" w14:textId="77777777" w:rsidR="00CD29BD" w:rsidRPr="004870C7" w:rsidRDefault="00CD29BD" w:rsidP="003B2A79">
            <w:pPr>
              <w:rPr>
                <w:szCs w:val="22"/>
              </w:rPr>
            </w:pPr>
          </w:p>
        </w:tc>
        <w:tc>
          <w:tcPr>
            <w:tcW w:w="362" w:type="dxa"/>
            <w:shd w:val="clear" w:color="auto" w:fill="B4C6E7" w:themeFill="accent1" w:themeFillTint="66"/>
          </w:tcPr>
          <w:p w14:paraId="2FFD224E" w14:textId="77777777" w:rsidR="00CD29BD" w:rsidRPr="004870C7" w:rsidRDefault="00CD29BD" w:rsidP="003B2A79">
            <w:pPr>
              <w:rPr>
                <w:szCs w:val="22"/>
              </w:rPr>
            </w:pPr>
          </w:p>
        </w:tc>
        <w:tc>
          <w:tcPr>
            <w:tcW w:w="362" w:type="dxa"/>
            <w:shd w:val="clear" w:color="auto" w:fill="auto"/>
          </w:tcPr>
          <w:p w14:paraId="1D19C588" w14:textId="77777777" w:rsidR="00CD29BD" w:rsidRPr="004870C7" w:rsidRDefault="00CD29BD" w:rsidP="003B2A79">
            <w:pPr>
              <w:rPr>
                <w:szCs w:val="22"/>
              </w:rPr>
            </w:pPr>
          </w:p>
        </w:tc>
        <w:tc>
          <w:tcPr>
            <w:tcW w:w="362" w:type="dxa"/>
            <w:shd w:val="clear" w:color="auto" w:fill="auto"/>
          </w:tcPr>
          <w:p w14:paraId="00BBB8EB" w14:textId="77777777" w:rsidR="00CD29BD" w:rsidRPr="004870C7" w:rsidRDefault="00CD29BD" w:rsidP="003B2A79">
            <w:pPr>
              <w:rPr>
                <w:szCs w:val="22"/>
              </w:rPr>
            </w:pPr>
          </w:p>
        </w:tc>
        <w:tc>
          <w:tcPr>
            <w:tcW w:w="362" w:type="dxa"/>
            <w:shd w:val="clear" w:color="auto" w:fill="auto"/>
          </w:tcPr>
          <w:p w14:paraId="3CB1BFED" w14:textId="77777777" w:rsidR="00CD29BD" w:rsidRPr="004870C7" w:rsidRDefault="00CD29BD" w:rsidP="003B2A79">
            <w:pPr>
              <w:rPr>
                <w:szCs w:val="22"/>
              </w:rPr>
            </w:pPr>
          </w:p>
        </w:tc>
        <w:tc>
          <w:tcPr>
            <w:tcW w:w="362" w:type="dxa"/>
            <w:shd w:val="clear" w:color="auto" w:fill="auto"/>
          </w:tcPr>
          <w:p w14:paraId="0A1CB58D" w14:textId="77777777" w:rsidR="00CD29BD" w:rsidRPr="004870C7" w:rsidRDefault="00CD29BD" w:rsidP="003B2A79">
            <w:pPr>
              <w:rPr>
                <w:szCs w:val="22"/>
              </w:rPr>
            </w:pPr>
          </w:p>
        </w:tc>
        <w:tc>
          <w:tcPr>
            <w:tcW w:w="362" w:type="dxa"/>
            <w:shd w:val="clear" w:color="auto" w:fill="auto"/>
          </w:tcPr>
          <w:p w14:paraId="0A6DA7FC" w14:textId="77777777" w:rsidR="00CD29BD" w:rsidRPr="004870C7" w:rsidRDefault="00CD29BD" w:rsidP="003B2A79">
            <w:pPr>
              <w:rPr>
                <w:szCs w:val="22"/>
              </w:rPr>
            </w:pPr>
          </w:p>
        </w:tc>
        <w:tc>
          <w:tcPr>
            <w:tcW w:w="362" w:type="dxa"/>
            <w:shd w:val="clear" w:color="auto" w:fill="auto"/>
          </w:tcPr>
          <w:p w14:paraId="2BD22625" w14:textId="77777777" w:rsidR="00CD29BD" w:rsidRPr="004870C7" w:rsidRDefault="00CD29BD" w:rsidP="003B2A79">
            <w:pPr>
              <w:rPr>
                <w:szCs w:val="22"/>
              </w:rPr>
            </w:pPr>
          </w:p>
        </w:tc>
      </w:tr>
      <w:tr w:rsidR="00CD29BD" w:rsidRPr="004870C7" w14:paraId="5EB9CD00" w14:textId="77777777" w:rsidTr="00E27A50">
        <w:tc>
          <w:tcPr>
            <w:tcW w:w="809" w:type="dxa"/>
            <w:vMerge/>
          </w:tcPr>
          <w:p w14:paraId="110F452A" w14:textId="77777777" w:rsidR="00CD29BD" w:rsidRPr="004870C7" w:rsidRDefault="00CD29BD" w:rsidP="003B2A79">
            <w:pPr>
              <w:rPr>
                <w:szCs w:val="22"/>
              </w:rPr>
            </w:pPr>
          </w:p>
        </w:tc>
        <w:tc>
          <w:tcPr>
            <w:tcW w:w="739" w:type="dxa"/>
            <w:vMerge/>
            <w:shd w:val="clear" w:color="auto" w:fill="auto"/>
            <w:vAlign w:val="center"/>
          </w:tcPr>
          <w:p w14:paraId="11DD21B8" w14:textId="77777777" w:rsidR="00CD29BD" w:rsidRPr="004870C7" w:rsidRDefault="00CD29BD" w:rsidP="00CE078C">
            <w:pPr>
              <w:jc w:val="center"/>
              <w:rPr>
                <w:szCs w:val="22"/>
              </w:rPr>
            </w:pPr>
          </w:p>
        </w:tc>
        <w:tc>
          <w:tcPr>
            <w:tcW w:w="634" w:type="dxa"/>
          </w:tcPr>
          <w:p w14:paraId="6B6351EE" w14:textId="03DC9E4A" w:rsidR="00CD29BD" w:rsidRPr="004870C7" w:rsidRDefault="00CD29BD" w:rsidP="003B2A79">
            <w:pPr>
              <w:rPr>
                <w:szCs w:val="22"/>
              </w:rPr>
            </w:pPr>
            <w:r w:rsidRPr="004870C7">
              <w:rPr>
                <w:szCs w:val="22"/>
              </w:rPr>
              <w:t>3.2.2</w:t>
            </w:r>
          </w:p>
        </w:tc>
        <w:tc>
          <w:tcPr>
            <w:tcW w:w="362" w:type="dxa"/>
            <w:shd w:val="clear" w:color="auto" w:fill="auto"/>
          </w:tcPr>
          <w:p w14:paraId="5C4AF93E" w14:textId="77777777" w:rsidR="00CD29BD" w:rsidRPr="004870C7" w:rsidRDefault="00CD29BD" w:rsidP="003B2A79">
            <w:pPr>
              <w:rPr>
                <w:szCs w:val="22"/>
              </w:rPr>
            </w:pPr>
          </w:p>
        </w:tc>
        <w:tc>
          <w:tcPr>
            <w:tcW w:w="362" w:type="dxa"/>
            <w:shd w:val="clear" w:color="auto" w:fill="auto"/>
          </w:tcPr>
          <w:p w14:paraId="43489B03" w14:textId="77777777" w:rsidR="00CD29BD" w:rsidRPr="004870C7" w:rsidRDefault="00CD29BD" w:rsidP="003B2A79">
            <w:pPr>
              <w:rPr>
                <w:szCs w:val="22"/>
              </w:rPr>
            </w:pPr>
          </w:p>
        </w:tc>
        <w:tc>
          <w:tcPr>
            <w:tcW w:w="362" w:type="dxa"/>
            <w:shd w:val="clear" w:color="auto" w:fill="auto"/>
          </w:tcPr>
          <w:p w14:paraId="536F939C" w14:textId="77777777" w:rsidR="00CD29BD" w:rsidRPr="004870C7" w:rsidRDefault="00CD29BD" w:rsidP="003B2A79">
            <w:pPr>
              <w:rPr>
                <w:szCs w:val="22"/>
              </w:rPr>
            </w:pPr>
          </w:p>
        </w:tc>
        <w:tc>
          <w:tcPr>
            <w:tcW w:w="362" w:type="dxa"/>
            <w:shd w:val="clear" w:color="auto" w:fill="auto"/>
          </w:tcPr>
          <w:p w14:paraId="7A7EB97C" w14:textId="77777777" w:rsidR="00CD29BD" w:rsidRPr="004870C7" w:rsidRDefault="00CD29BD" w:rsidP="003B2A79">
            <w:pPr>
              <w:rPr>
                <w:szCs w:val="22"/>
              </w:rPr>
            </w:pPr>
          </w:p>
        </w:tc>
        <w:tc>
          <w:tcPr>
            <w:tcW w:w="362" w:type="dxa"/>
            <w:shd w:val="clear" w:color="auto" w:fill="auto"/>
          </w:tcPr>
          <w:p w14:paraId="6A9EC6E0" w14:textId="77777777" w:rsidR="00CD29BD" w:rsidRPr="004870C7" w:rsidRDefault="00CD29BD" w:rsidP="003B2A79">
            <w:pPr>
              <w:rPr>
                <w:szCs w:val="22"/>
              </w:rPr>
            </w:pPr>
          </w:p>
        </w:tc>
        <w:tc>
          <w:tcPr>
            <w:tcW w:w="362" w:type="dxa"/>
            <w:shd w:val="clear" w:color="auto" w:fill="auto"/>
          </w:tcPr>
          <w:p w14:paraId="684070E4" w14:textId="77777777" w:rsidR="00CD29BD" w:rsidRPr="004870C7" w:rsidRDefault="00CD29BD" w:rsidP="003B2A79">
            <w:pPr>
              <w:rPr>
                <w:szCs w:val="22"/>
              </w:rPr>
            </w:pPr>
          </w:p>
        </w:tc>
        <w:tc>
          <w:tcPr>
            <w:tcW w:w="362" w:type="dxa"/>
            <w:shd w:val="clear" w:color="auto" w:fill="auto"/>
          </w:tcPr>
          <w:p w14:paraId="0B37BBCA" w14:textId="77777777" w:rsidR="00CD29BD" w:rsidRPr="004870C7" w:rsidRDefault="00CD29BD" w:rsidP="003B2A79">
            <w:pPr>
              <w:rPr>
                <w:szCs w:val="22"/>
              </w:rPr>
            </w:pPr>
          </w:p>
        </w:tc>
        <w:tc>
          <w:tcPr>
            <w:tcW w:w="362" w:type="dxa"/>
            <w:shd w:val="clear" w:color="auto" w:fill="auto"/>
          </w:tcPr>
          <w:p w14:paraId="742BE981" w14:textId="77777777" w:rsidR="00CD29BD" w:rsidRPr="004870C7" w:rsidRDefault="00CD29BD" w:rsidP="003B2A79">
            <w:pPr>
              <w:rPr>
                <w:szCs w:val="22"/>
              </w:rPr>
            </w:pPr>
          </w:p>
        </w:tc>
        <w:tc>
          <w:tcPr>
            <w:tcW w:w="362" w:type="dxa"/>
            <w:shd w:val="clear" w:color="auto" w:fill="auto"/>
          </w:tcPr>
          <w:p w14:paraId="53A9F1BF" w14:textId="77777777" w:rsidR="00CD29BD" w:rsidRPr="004870C7" w:rsidRDefault="00CD29BD" w:rsidP="003B2A79">
            <w:pPr>
              <w:rPr>
                <w:szCs w:val="22"/>
              </w:rPr>
            </w:pPr>
          </w:p>
        </w:tc>
        <w:tc>
          <w:tcPr>
            <w:tcW w:w="362" w:type="dxa"/>
            <w:shd w:val="clear" w:color="auto" w:fill="auto"/>
          </w:tcPr>
          <w:p w14:paraId="39AC1E34" w14:textId="77777777" w:rsidR="00CD29BD" w:rsidRPr="004870C7" w:rsidRDefault="00CD29BD" w:rsidP="003B2A79">
            <w:pPr>
              <w:rPr>
                <w:szCs w:val="22"/>
              </w:rPr>
            </w:pPr>
          </w:p>
        </w:tc>
        <w:tc>
          <w:tcPr>
            <w:tcW w:w="362" w:type="dxa"/>
            <w:shd w:val="clear" w:color="auto" w:fill="B4C6E7" w:themeFill="accent1" w:themeFillTint="66"/>
          </w:tcPr>
          <w:p w14:paraId="1B0F875C" w14:textId="77777777" w:rsidR="00CD29BD" w:rsidRPr="004870C7" w:rsidRDefault="00CD29BD" w:rsidP="003B2A79">
            <w:pPr>
              <w:rPr>
                <w:szCs w:val="22"/>
              </w:rPr>
            </w:pPr>
          </w:p>
        </w:tc>
        <w:tc>
          <w:tcPr>
            <w:tcW w:w="362" w:type="dxa"/>
            <w:shd w:val="clear" w:color="auto" w:fill="B4C6E7" w:themeFill="accent1" w:themeFillTint="66"/>
          </w:tcPr>
          <w:p w14:paraId="3DC89F6D" w14:textId="77777777" w:rsidR="00CD29BD" w:rsidRPr="004870C7" w:rsidRDefault="00CD29BD" w:rsidP="003B2A79">
            <w:pPr>
              <w:rPr>
                <w:szCs w:val="22"/>
              </w:rPr>
            </w:pPr>
          </w:p>
        </w:tc>
        <w:tc>
          <w:tcPr>
            <w:tcW w:w="362" w:type="dxa"/>
            <w:shd w:val="clear" w:color="auto" w:fill="B4C6E7" w:themeFill="accent1" w:themeFillTint="66"/>
          </w:tcPr>
          <w:p w14:paraId="5498EB9E" w14:textId="77777777" w:rsidR="00CD29BD" w:rsidRPr="004870C7" w:rsidRDefault="00CD29BD" w:rsidP="003B2A79">
            <w:pPr>
              <w:rPr>
                <w:szCs w:val="22"/>
              </w:rPr>
            </w:pPr>
          </w:p>
        </w:tc>
        <w:tc>
          <w:tcPr>
            <w:tcW w:w="362" w:type="dxa"/>
            <w:shd w:val="clear" w:color="auto" w:fill="B4C6E7" w:themeFill="accent1" w:themeFillTint="66"/>
          </w:tcPr>
          <w:p w14:paraId="0993F022" w14:textId="77777777" w:rsidR="00CD29BD" w:rsidRPr="004870C7" w:rsidRDefault="00CD29BD" w:rsidP="003B2A79">
            <w:pPr>
              <w:rPr>
                <w:szCs w:val="22"/>
              </w:rPr>
            </w:pPr>
          </w:p>
        </w:tc>
        <w:tc>
          <w:tcPr>
            <w:tcW w:w="362" w:type="dxa"/>
            <w:shd w:val="clear" w:color="auto" w:fill="auto"/>
          </w:tcPr>
          <w:p w14:paraId="0B6FF2C4" w14:textId="77777777" w:rsidR="00CD29BD" w:rsidRPr="004870C7" w:rsidRDefault="00CD29BD" w:rsidP="003B2A79">
            <w:pPr>
              <w:rPr>
                <w:szCs w:val="22"/>
              </w:rPr>
            </w:pPr>
          </w:p>
        </w:tc>
        <w:tc>
          <w:tcPr>
            <w:tcW w:w="362" w:type="dxa"/>
            <w:shd w:val="clear" w:color="auto" w:fill="auto"/>
          </w:tcPr>
          <w:p w14:paraId="60C0F556" w14:textId="77777777" w:rsidR="00CD29BD" w:rsidRPr="004870C7" w:rsidRDefault="00CD29BD" w:rsidP="003B2A79">
            <w:pPr>
              <w:rPr>
                <w:szCs w:val="22"/>
              </w:rPr>
            </w:pPr>
          </w:p>
        </w:tc>
        <w:tc>
          <w:tcPr>
            <w:tcW w:w="362" w:type="dxa"/>
            <w:shd w:val="clear" w:color="auto" w:fill="auto"/>
          </w:tcPr>
          <w:p w14:paraId="6590BD8E" w14:textId="77777777" w:rsidR="00CD29BD" w:rsidRPr="004870C7" w:rsidRDefault="00CD29BD" w:rsidP="003B2A79">
            <w:pPr>
              <w:rPr>
                <w:szCs w:val="22"/>
              </w:rPr>
            </w:pPr>
          </w:p>
        </w:tc>
        <w:tc>
          <w:tcPr>
            <w:tcW w:w="362" w:type="dxa"/>
            <w:shd w:val="clear" w:color="auto" w:fill="auto"/>
          </w:tcPr>
          <w:p w14:paraId="7CC4DE34" w14:textId="77777777" w:rsidR="00CD29BD" w:rsidRPr="004870C7" w:rsidRDefault="00CD29BD" w:rsidP="003B2A79">
            <w:pPr>
              <w:rPr>
                <w:szCs w:val="22"/>
              </w:rPr>
            </w:pPr>
          </w:p>
        </w:tc>
        <w:tc>
          <w:tcPr>
            <w:tcW w:w="362" w:type="dxa"/>
            <w:shd w:val="clear" w:color="auto" w:fill="auto"/>
          </w:tcPr>
          <w:p w14:paraId="278D6721" w14:textId="77777777" w:rsidR="00CD29BD" w:rsidRPr="004870C7" w:rsidRDefault="00CD29BD" w:rsidP="003B2A79">
            <w:pPr>
              <w:rPr>
                <w:szCs w:val="22"/>
              </w:rPr>
            </w:pPr>
          </w:p>
        </w:tc>
        <w:tc>
          <w:tcPr>
            <w:tcW w:w="362" w:type="dxa"/>
            <w:shd w:val="clear" w:color="auto" w:fill="auto"/>
          </w:tcPr>
          <w:p w14:paraId="76BA28BD" w14:textId="77777777" w:rsidR="00CD29BD" w:rsidRPr="004870C7" w:rsidRDefault="00CD29BD" w:rsidP="003B2A79">
            <w:pPr>
              <w:rPr>
                <w:szCs w:val="22"/>
              </w:rPr>
            </w:pPr>
          </w:p>
        </w:tc>
      </w:tr>
      <w:tr w:rsidR="00CD29BD" w:rsidRPr="004870C7" w14:paraId="37D17092" w14:textId="77777777" w:rsidTr="00E27A50">
        <w:tc>
          <w:tcPr>
            <w:tcW w:w="809" w:type="dxa"/>
            <w:vMerge/>
          </w:tcPr>
          <w:p w14:paraId="73538D25" w14:textId="77777777" w:rsidR="00CD29BD" w:rsidRPr="004870C7" w:rsidRDefault="00CD29BD" w:rsidP="003B2A79">
            <w:pPr>
              <w:rPr>
                <w:szCs w:val="22"/>
              </w:rPr>
            </w:pPr>
          </w:p>
        </w:tc>
        <w:tc>
          <w:tcPr>
            <w:tcW w:w="739" w:type="dxa"/>
            <w:vMerge/>
            <w:shd w:val="clear" w:color="auto" w:fill="auto"/>
            <w:vAlign w:val="center"/>
          </w:tcPr>
          <w:p w14:paraId="675ABE6C" w14:textId="77777777" w:rsidR="00CD29BD" w:rsidRPr="004870C7" w:rsidRDefault="00CD29BD" w:rsidP="00CE078C">
            <w:pPr>
              <w:jc w:val="center"/>
              <w:rPr>
                <w:szCs w:val="22"/>
              </w:rPr>
            </w:pPr>
          </w:p>
        </w:tc>
        <w:tc>
          <w:tcPr>
            <w:tcW w:w="634" w:type="dxa"/>
          </w:tcPr>
          <w:p w14:paraId="1F482A5A" w14:textId="07F79976" w:rsidR="00CD29BD" w:rsidRPr="004870C7" w:rsidRDefault="00CD29BD" w:rsidP="003B2A79">
            <w:pPr>
              <w:rPr>
                <w:szCs w:val="22"/>
              </w:rPr>
            </w:pPr>
            <w:r w:rsidRPr="004870C7">
              <w:rPr>
                <w:szCs w:val="22"/>
              </w:rPr>
              <w:t>3.2.3</w:t>
            </w:r>
          </w:p>
        </w:tc>
        <w:tc>
          <w:tcPr>
            <w:tcW w:w="362" w:type="dxa"/>
            <w:shd w:val="clear" w:color="auto" w:fill="auto"/>
          </w:tcPr>
          <w:p w14:paraId="2E8D6E80" w14:textId="77777777" w:rsidR="00CD29BD" w:rsidRPr="004870C7" w:rsidRDefault="00CD29BD" w:rsidP="003B2A79">
            <w:pPr>
              <w:rPr>
                <w:szCs w:val="22"/>
              </w:rPr>
            </w:pPr>
          </w:p>
        </w:tc>
        <w:tc>
          <w:tcPr>
            <w:tcW w:w="362" w:type="dxa"/>
            <w:shd w:val="clear" w:color="auto" w:fill="auto"/>
          </w:tcPr>
          <w:p w14:paraId="02D4F9FF" w14:textId="77777777" w:rsidR="00CD29BD" w:rsidRPr="004870C7" w:rsidRDefault="00CD29BD" w:rsidP="003B2A79">
            <w:pPr>
              <w:rPr>
                <w:szCs w:val="22"/>
              </w:rPr>
            </w:pPr>
          </w:p>
        </w:tc>
        <w:tc>
          <w:tcPr>
            <w:tcW w:w="362" w:type="dxa"/>
            <w:shd w:val="clear" w:color="auto" w:fill="auto"/>
          </w:tcPr>
          <w:p w14:paraId="3F8768C7" w14:textId="77777777" w:rsidR="00CD29BD" w:rsidRPr="004870C7" w:rsidRDefault="00CD29BD" w:rsidP="003B2A79">
            <w:pPr>
              <w:rPr>
                <w:szCs w:val="22"/>
              </w:rPr>
            </w:pPr>
          </w:p>
        </w:tc>
        <w:tc>
          <w:tcPr>
            <w:tcW w:w="362" w:type="dxa"/>
            <w:shd w:val="clear" w:color="auto" w:fill="auto"/>
          </w:tcPr>
          <w:p w14:paraId="48CB7C87" w14:textId="77777777" w:rsidR="00CD29BD" w:rsidRPr="004870C7" w:rsidRDefault="00CD29BD" w:rsidP="003B2A79">
            <w:pPr>
              <w:rPr>
                <w:szCs w:val="22"/>
              </w:rPr>
            </w:pPr>
          </w:p>
        </w:tc>
        <w:tc>
          <w:tcPr>
            <w:tcW w:w="362" w:type="dxa"/>
            <w:shd w:val="clear" w:color="auto" w:fill="auto"/>
          </w:tcPr>
          <w:p w14:paraId="4175168B" w14:textId="77777777" w:rsidR="00CD29BD" w:rsidRPr="004870C7" w:rsidRDefault="00CD29BD" w:rsidP="003B2A79">
            <w:pPr>
              <w:rPr>
                <w:szCs w:val="22"/>
              </w:rPr>
            </w:pPr>
          </w:p>
        </w:tc>
        <w:tc>
          <w:tcPr>
            <w:tcW w:w="362" w:type="dxa"/>
            <w:shd w:val="clear" w:color="auto" w:fill="auto"/>
          </w:tcPr>
          <w:p w14:paraId="43EEA19F" w14:textId="77777777" w:rsidR="00CD29BD" w:rsidRPr="004870C7" w:rsidRDefault="00CD29BD" w:rsidP="003B2A79">
            <w:pPr>
              <w:rPr>
                <w:szCs w:val="22"/>
              </w:rPr>
            </w:pPr>
          </w:p>
        </w:tc>
        <w:tc>
          <w:tcPr>
            <w:tcW w:w="362" w:type="dxa"/>
            <w:shd w:val="clear" w:color="auto" w:fill="auto"/>
          </w:tcPr>
          <w:p w14:paraId="34BB2369" w14:textId="77777777" w:rsidR="00CD29BD" w:rsidRPr="004870C7" w:rsidRDefault="00CD29BD" w:rsidP="003B2A79">
            <w:pPr>
              <w:rPr>
                <w:szCs w:val="22"/>
              </w:rPr>
            </w:pPr>
          </w:p>
        </w:tc>
        <w:tc>
          <w:tcPr>
            <w:tcW w:w="362" w:type="dxa"/>
            <w:shd w:val="clear" w:color="auto" w:fill="auto"/>
          </w:tcPr>
          <w:p w14:paraId="0A4A3409" w14:textId="77777777" w:rsidR="00CD29BD" w:rsidRPr="004870C7" w:rsidRDefault="00CD29BD" w:rsidP="003B2A79">
            <w:pPr>
              <w:rPr>
                <w:szCs w:val="22"/>
              </w:rPr>
            </w:pPr>
          </w:p>
        </w:tc>
        <w:tc>
          <w:tcPr>
            <w:tcW w:w="362" w:type="dxa"/>
            <w:shd w:val="clear" w:color="auto" w:fill="auto"/>
          </w:tcPr>
          <w:p w14:paraId="5BBAFC48" w14:textId="77777777" w:rsidR="00CD29BD" w:rsidRPr="004870C7" w:rsidRDefault="00CD29BD" w:rsidP="003B2A79">
            <w:pPr>
              <w:rPr>
                <w:szCs w:val="22"/>
              </w:rPr>
            </w:pPr>
          </w:p>
        </w:tc>
        <w:tc>
          <w:tcPr>
            <w:tcW w:w="362" w:type="dxa"/>
            <w:shd w:val="clear" w:color="auto" w:fill="auto"/>
          </w:tcPr>
          <w:p w14:paraId="2F6D4D25" w14:textId="77777777" w:rsidR="00CD29BD" w:rsidRPr="004870C7" w:rsidRDefault="00CD29BD" w:rsidP="003B2A79">
            <w:pPr>
              <w:rPr>
                <w:szCs w:val="22"/>
              </w:rPr>
            </w:pPr>
          </w:p>
        </w:tc>
        <w:tc>
          <w:tcPr>
            <w:tcW w:w="362" w:type="dxa"/>
            <w:shd w:val="clear" w:color="auto" w:fill="B4C6E7" w:themeFill="accent1" w:themeFillTint="66"/>
          </w:tcPr>
          <w:p w14:paraId="0F354901" w14:textId="77777777" w:rsidR="00CD29BD" w:rsidRPr="004870C7" w:rsidRDefault="00CD29BD" w:rsidP="003B2A79">
            <w:pPr>
              <w:rPr>
                <w:szCs w:val="22"/>
              </w:rPr>
            </w:pPr>
          </w:p>
        </w:tc>
        <w:tc>
          <w:tcPr>
            <w:tcW w:w="362" w:type="dxa"/>
            <w:shd w:val="clear" w:color="auto" w:fill="B4C6E7" w:themeFill="accent1" w:themeFillTint="66"/>
          </w:tcPr>
          <w:p w14:paraId="0A3E668F" w14:textId="77777777" w:rsidR="00CD29BD" w:rsidRPr="004870C7" w:rsidRDefault="00CD29BD" w:rsidP="003B2A79">
            <w:pPr>
              <w:rPr>
                <w:szCs w:val="22"/>
              </w:rPr>
            </w:pPr>
          </w:p>
        </w:tc>
        <w:tc>
          <w:tcPr>
            <w:tcW w:w="362" w:type="dxa"/>
            <w:shd w:val="clear" w:color="auto" w:fill="B4C6E7" w:themeFill="accent1" w:themeFillTint="66"/>
          </w:tcPr>
          <w:p w14:paraId="16F14276" w14:textId="77777777" w:rsidR="00CD29BD" w:rsidRPr="004870C7" w:rsidRDefault="00CD29BD" w:rsidP="003B2A79">
            <w:pPr>
              <w:rPr>
                <w:szCs w:val="22"/>
              </w:rPr>
            </w:pPr>
          </w:p>
        </w:tc>
        <w:tc>
          <w:tcPr>
            <w:tcW w:w="362" w:type="dxa"/>
            <w:shd w:val="clear" w:color="auto" w:fill="B4C6E7" w:themeFill="accent1" w:themeFillTint="66"/>
          </w:tcPr>
          <w:p w14:paraId="408F596C" w14:textId="77777777" w:rsidR="00CD29BD" w:rsidRPr="004870C7" w:rsidRDefault="00CD29BD" w:rsidP="003B2A79">
            <w:pPr>
              <w:rPr>
                <w:szCs w:val="22"/>
              </w:rPr>
            </w:pPr>
          </w:p>
        </w:tc>
        <w:tc>
          <w:tcPr>
            <w:tcW w:w="362" w:type="dxa"/>
            <w:shd w:val="clear" w:color="auto" w:fill="auto"/>
          </w:tcPr>
          <w:p w14:paraId="566652AF" w14:textId="77777777" w:rsidR="00CD29BD" w:rsidRPr="004870C7" w:rsidRDefault="00CD29BD" w:rsidP="003B2A79">
            <w:pPr>
              <w:rPr>
                <w:szCs w:val="22"/>
              </w:rPr>
            </w:pPr>
          </w:p>
        </w:tc>
        <w:tc>
          <w:tcPr>
            <w:tcW w:w="362" w:type="dxa"/>
            <w:shd w:val="clear" w:color="auto" w:fill="auto"/>
          </w:tcPr>
          <w:p w14:paraId="2E7EE43C" w14:textId="77777777" w:rsidR="00CD29BD" w:rsidRPr="004870C7" w:rsidRDefault="00CD29BD" w:rsidP="003B2A79">
            <w:pPr>
              <w:rPr>
                <w:szCs w:val="22"/>
              </w:rPr>
            </w:pPr>
          </w:p>
        </w:tc>
        <w:tc>
          <w:tcPr>
            <w:tcW w:w="362" w:type="dxa"/>
            <w:shd w:val="clear" w:color="auto" w:fill="auto"/>
          </w:tcPr>
          <w:p w14:paraId="55069169" w14:textId="77777777" w:rsidR="00CD29BD" w:rsidRPr="004870C7" w:rsidRDefault="00CD29BD" w:rsidP="003B2A79">
            <w:pPr>
              <w:rPr>
                <w:szCs w:val="22"/>
              </w:rPr>
            </w:pPr>
          </w:p>
        </w:tc>
        <w:tc>
          <w:tcPr>
            <w:tcW w:w="362" w:type="dxa"/>
            <w:shd w:val="clear" w:color="auto" w:fill="auto"/>
          </w:tcPr>
          <w:p w14:paraId="78054B26" w14:textId="77777777" w:rsidR="00CD29BD" w:rsidRPr="004870C7" w:rsidRDefault="00CD29BD" w:rsidP="003B2A79">
            <w:pPr>
              <w:rPr>
                <w:szCs w:val="22"/>
              </w:rPr>
            </w:pPr>
          </w:p>
        </w:tc>
        <w:tc>
          <w:tcPr>
            <w:tcW w:w="362" w:type="dxa"/>
            <w:shd w:val="clear" w:color="auto" w:fill="auto"/>
          </w:tcPr>
          <w:p w14:paraId="7E20E11E" w14:textId="77777777" w:rsidR="00CD29BD" w:rsidRPr="004870C7" w:rsidRDefault="00CD29BD" w:rsidP="003B2A79">
            <w:pPr>
              <w:rPr>
                <w:szCs w:val="22"/>
              </w:rPr>
            </w:pPr>
          </w:p>
        </w:tc>
        <w:tc>
          <w:tcPr>
            <w:tcW w:w="362" w:type="dxa"/>
            <w:shd w:val="clear" w:color="auto" w:fill="auto"/>
          </w:tcPr>
          <w:p w14:paraId="4E6946E4" w14:textId="77777777" w:rsidR="00CD29BD" w:rsidRPr="004870C7" w:rsidRDefault="00CD29BD" w:rsidP="003B2A79">
            <w:pPr>
              <w:rPr>
                <w:szCs w:val="22"/>
              </w:rPr>
            </w:pPr>
          </w:p>
        </w:tc>
      </w:tr>
      <w:tr w:rsidR="00CD29BD" w:rsidRPr="004870C7" w14:paraId="0960397F" w14:textId="77777777" w:rsidTr="00E27A50">
        <w:tc>
          <w:tcPr>
            <w:tcW w:w="809" w:type="dxa"/>
            <w:vMerge/>
          </w:tcPr>
          <w:p w14:paraId="2090A149" w14:textId="77777777" w:rsidR="00CD29BD" w:rsidRPr="004870C7" w:rsidRDefault="00CD29BD" w:rsidP="003B2A79">
            <w:pPr>
              <w:rPr>
                <w:szCs w:val="22"/>
              </w:rPr>
            </w:pPr>
          </w:p>
        </w:tc>
        <w:tc>
          <w:tcPr>
            <w:tcW w:w="739" w:type="dxa"/>
            <w:vMerge/>
            <w:shd w:val="clear" w:color="auto" w:fill="auto"/>
            <w:vAlign w:val="center"/>
          </w:tcPr>
          <w:p w14:paraId="67882C4F" w14:textId="77777777" w:rsidR="00CD29BD" w:rsidRPr="004870C7" w:rsidRDefault="00CD29BD" w:rsidP="00CE078C">
            <w:pPr>
              <w:jc w:val="center"/>
              <w:rPr>
                <w:szCs w:val="22"/>
              </w:rPr>
            </w:pPr>
          </w:p>
        </w:tc>
        <w:tc>
          <w:tcPr>
            <w:tcW w:w="634" w:type="dxa"/>
          </w:tcPr>
          <w:p w14:paraId="6E18B4C7" w14:textId="3E31371F" w:rsidR="00CD29BD" w:rsidRPr="004870C7" w:rsidRDefault="00CD29BD" w:rsidP="003B2A79">
            <w:pPr>
              <w:rPr>
                <w:szCs w:val="22"/>
              </w:rPr>
            </w:pPr>
            <w:r w:rsidRPr="004870C7">
              <w:rPr>
                <w:szCs w:val="22"/>
              </w:rPr>
              <w:t>3.2.4</w:t>
            </w:r>
          </w:p>
        </w:tc>
        <w:tc>
          <w:tcPr>
            <w:tcW w:w="362" w:type="dxa"/>
            <w:shd w:val="clear" w:color="auto" w:fill="auto"/>
          </w:tcPr>
          <w:p w14:paraId="44DC2D94" w14:textId="77777777" w:rsidR="00CD29BD" w:rsidRPr="004870C7" w:rsidRDefault="00CD29BD" w:rsidP="003B2A79">
            <w:pPr>
              <w:rPr>
                <w:szCs w:val="22"/>
              </w:rPr>
            </w:pPr>
          </w:p>
        </w:tc>
        <w:tc>
          <w:tcPr>
            <w:tcW w:w="362" w:type="dxa"/>
            <w:shd w:val="clear" w:color="auto" w:fill="auto"/>
          </w:tcPr>
          <w:p w14:paraId="4DCD6733" w14:textId="77777777" w:rsidR="00CD29BD" w:rsidRPr="004870C7" w:rsidRDefault="00CD29BD" w:rsidP="003B2A79">
            <w:pPr>
              <w:rPr>
                <w:szCs w:val="22"/>
              </w:rPr>
            </w:pPr>
          </w:p>
        </w:tc>
        <w:tc>
          <w:tcPr>
            <w:tcW w:w="362" w:type="dxa"/>
            <w:shd w:val="clear" w:color="auto" w:fill="auto"/>
          </w:tcPr>
          <w:p w14:paraId="5BFCE099" w14:textId="77777777" w:rsidR="00CD29BD" w:rsidRPr="004870C7" w:rsidRDefault="00CD29BD" w:rsidP="003B2A79">
            <w:pPr>
              <w:rPr>
                <w:szCs w:val="22"/>
              </w:rPr>
            </w:pPr>
          </w:p>
        </w:tc>
        <w:tc>
          <w:tcPr>
            <w:tcW w:w="362" w:type="dxa"/>
            <w:shd w:val="clear" w:color="auto" w:fill="auto"/>
          </w:tcPr>
          <w:p w14:paraId="0F413BF4" w14:textId="77777777" w:rsidR="00CD29BD" w:rsidRPr="004870C7" w:rsidRDefault="00CD29BD" w:rsidP="003B2A79">
            <w:pPr>
              <w:rPr>
                <w:szCs w:val="22"/>
              </w:rPr>
            </w:pPr>
          </w:p>
        </w:tc>
        <w:tc>
          <w:tcPr>
            <w:tcW w:w="362" w:type="dxa"/>
            <w:shd w:val="clear" w:color="auto" w:fill="auto"/>
          </w:tcPr>
          <w:p w14:paraId="54A5C878" w14:textId="77777777" w:rsidR="00CD29BD" w:rsidRPr="004870C7" w:rsidRDefault="00CD29BD" w:rsidP="003B2A79">
            <w:pPr>
              <w:rPr>
                <w:szCs w:val="22"/>
              </w:rPr>
            </w:pPr>
          </w:p>
        </w:tc>
        <w:tc>
          <w:tcPr>
            <w:tcW w:w="362" w:type="dxa"/>
            <w:shd w:val="clear" w:color="auto" w:fill="auto"/>
          </w:tcPr>
          <w:p w14:paraId="770892B6" w14:textId="77777777" w:rsidR="00CD29BD" w:rsidRPr="004870C7" w:rsidRDefault="00CD29BD" w:rsidP="003B2A79">
            <w:pPr>
              <w:rPr>
                <w:szCs w:val="22"/>
              </w:rPr>
            </w:pPr>
          </w:p>
        </w:tc>
        <w:tc>
          <w:tcPr>
            <w:tcW w:w="362" w:type="dxa"/>
            <w:shd w:val="clear" w:color="auto" w:fill="auto"/>
          </w:tcPr>
          <w:p w14:paraId="1EF13845" w14:textId="77777777" w:rsidR="00CD29BD" w:rsidRPr="004870C7" w:rsidRDefault="00CD29BD" w:rsidP="003B2A79">
            <w:pPr>
              <w:rPr>
                <w:szCs w:val="22"/>
              </w:rPr>
            </w:pPr>
          </w:p>
        </w:tc>
        <w:tc>
          <w:tcPr>
            <w:tcW w:w="362" w:type="dxa"/>
            <w:shd w:val="clear" w:color="auto" w:fill="auto"/>
          </w:tcPr>
          <w:p w14:paraId="27087520" w14:textId="77777777" w:rsidR="00CD29BD" w:rsidRPr="004870C7" w:rsidRDefault="00CD29BD" w:rsidP="003B2A79">
            <w:pPr>
              <w:rPr>
                <w:szCs w:val="22"/>
              </w:rPr>
            </w:pPr>
          </w:p>
        </w:tc>
        <w:tc>
          <w:tcPr>
            <w:tcW w:w="362" w:type="dxa"/>
            <w:shd w:val="clear" w:color="auto" w:fill="auto"/>
          </w:tcPr>
          <w:p w14:paraId="0A822019" w14:textId="77777777" w:rsidR="00CD29BD" w:rsidRPr="004870C7" w:rsidRDefault="00CD29BD" w:rsidP="003B2A79">
            <w:pPr>
              <w:rPr>
                <w:szCs w:val="22"/>
              </w:rPr>
            </w:pPr>
          </w:p>
        </w:tc>
        <w:tc>
          <w:tcPr>
            <w:tcW w:w="362" w:type="dxa"/>
            <w:shd w:val="clear" w:color="auto" w:fill="auto"/>
          </w:tcPr>
          <w:p w14:paraId="3D161FE5" w14:textId="77777777" w:rsidR="00CD29BD" w:rsidRPr="004870C7" w:rsidRDefault="00CD29BD" w:rsidP="003B2A79">
            <w:pPr>
              <w:rPr>
                <w:szCs w:val="22"/>
              </w:rPr>
            </w:pPr>
          </w:p>
        </w:tc>
        <w:tc>
          <w:tcPr>
            <w:tcW w:w="362" w:type="dxa"/>
            <w:shd w:val="clear" w:color="auto" w:fill="B4C6E7" w:themeFill="accent1" w:themeFillTint="66"/>
          </w:tcPr>
          <w:p w14:paraId="14D2729B" w14:textId="77777777" w:rsidR="00CD29BD" w:rsidRPr="004870C7" w:rsidRDefault="00CD29BD" w:rsidP="003B2A79">
            <w:pPr>
              <w:rPr>
                <w:szCs w:val="22"/>
              </w:rPr>
            </w:pPr>
          </w:p>
        </w:tc>
        <w:tc>
          <w:tcPr>
            <w:tcW w:w="362" w:type="dxa"/>
            <w:shd w:val="clear" w:color="auto" w:fill="B4C6E7" w:themeFill="accent1" w:themeFillTint="66"/>
          </w:tcPr>
          <w:p w14:paraId="688352B0" w14:textId="77777777" w:rsidR="00CD29BD" w:rsidRPr="004870C7" w:rsidRDefault="00CD29BD" w:rsidP="003B2A79">
            <w:pPr>
              <w:rPr>
                <w:szCs w:val="22"/>
              </w:rPr>
            </w:pPr>
          </w:p>
        </w:tc>
        <w:tc>
          <w:tcPr>
            <w:tcW w:w="362" w:type="dxa"/>
            <w:shd w:val="clear" w:color="auto" w:fill="B4C6E7" w:themeFill="accent1" w:themeFillTint="66"/>
          </w:tcPr>
          <w:p w14:paraId="1108147D" w14:textId="77777777" w:rsidR="00CD29BD" w:rsidRPr="004870C7" w:rsidRDefault="00CD29BD" w:rsidP="003B2A79">
            <w:pPr>
              <w:rPr>
                <w:szCs w:val="22"/>
              </w:rPr>
            </w:pPr>
          </w:p>
        </w:tc>
        <w:tc>
          <w:tcPr>
            <w:tcW w:w="362" w:type="dxa"/>
            <w:shd w:val="clear" w:color="auto" w:fill="B4C6E7" w:themeFill="accent1" w:themeFillTint="66"/>
          </w:tcPr>
          <w:p w14:paraId="7E06BE1F" w14:textId="77777777" w:rsidR="00CD29BD" w:rsidRPr="004870C7" w:rsidRDefault="00CD29BD" w:rsidP="003B2A79">
            <w:pPr>
              <w:rPr>
                <w:szCs w:val="22"/>
              </w:rPr>
            </w:pPr>
          </w:p>
        </w:tc>
        <w:tc>
          <w:tcPr>
            <w:tcW w:w="362" w:type="dxa"/>
            <w:shd w:val="clear" w:color="auto" w:fill="auto"/>
          </w:tcPr>
          <w:p w14:paraId="63B8ACBC" w14:textId="77777777" w:rsidR="00CD29BD" w:rsidRPr="004870C7" w:rsidRDefault="00CD29BD" w:rsidP="003B2A79">
            <w:pPr>
              <w:rPr>
                <w:szCs w:val="22"/>
              </w:rPr>
            </w:pPr>
          </w:p>
        </w:tc>
        <w:tc>
          <w:tcPr>
            <w:tcW w:w="362" w:type="dxa"/>
            <w:shd w:val="clear" w:color="auto" w:fill="auto"/>
          </w:tcPr>
          <w:p w14:paraId="3EC7A3B4" w14:textId="77777777" w:rsidR="00CD29BD" w:rsidRPr="004870C7" w:rsidRDefault="00CD29BD" w:rsidP="003B2A79">
            <w:pPr>
              <w:rPr>
                <w:szCs w:val="22"/>
              </w:rPr>
            </w:pPr>
          </w:p>
        </w:tc>
        <w:tc>
          <w:tcPr>
            <w:tcW w:w="362" w:type="dxa"/>
            <w:shd w:val="clear" w:color="auto" w:fill="auto"/>
          </w:tcPr>
          <w:p w14:paraId="0BE01074" w14:textId="77777777" w:rsidR="00CD29BD" w:rsidRPr="004870C7" w:rsidRDefault="00CD29BD" w:rsidP="003B2A79">
            <w:pPr>
              <w:rPr>
                <w:szCs w:val="22"/>
              </w:rPr>
            </w:pPr>
          </w:p>
        </w:tc>
        <w:tc>
          <w:tcPr>
            <w:tcW w:w="362" w:type="dxa"/>
            <w:shd w:val="clear" w:color="auto" w:fill="auto"/>
          </w:tcPr>
          <w:p w14:paraId="2DE3E05F" w14:textId="77777777" w:rsidR="00CD29BD" w:rsidRPr="004870C7" w:rsidRDefault="00CD29BD" w:rsidP="003B2A79">
            <w:pPr>
              <w:rPr>
                <w:szCs w:val="22"/>
              </w:rPr>
            </w:pPr>
          </w:p>
        </w:tc>
        <w:tc>
          <w:tcPr>
            <w:tcW w:w="362" w:type="dxa"/>
            <w:shd w:val="clear" w:color="auto" w:fill="auto"/>
          </w:tcPr>
          <w:p w14:paraId="1A237920" w14:textId="77777777" w:rsidR="00CD29BD" w:rsidRPr="004870C7" w:rsidRDefault="00CD29BD" w:rsidP="003B2A79">
            <w:pPr>
              <w:rPr>
                <w:szCs w:val="22"/>
              </w:rPr>
            </w:pPr>
          </w:p>
        </w:tc>
        <w:tc>
          <w:tcPr>
            <w:tcW w:w="362" w:type="dxa"/>
            <w:shd w:val="clear" w:color="auto" w:fill="auto"/>
          </w:tcPr>
          <w:p w14:paraId="5DEA8795" w14:textId="77777777" w:rsidR="00CD29BD" w:rsidRPr="004870C7" w:rsidRDefault="00CD29BD" w:rsidP="003B2A79">
            <w:pPr>
              <w:rPr>
                <w:szCs w:val="22"/>
              </w:rPr>
            </w:pPr>
          </w:p>
        </w:tc>
      </w:tr>
      <w:tr w:rsidR="00CD29BD" w:rsidRPr="004870C7" w14:paraId="7987B1EB" w14:textId="77777777" w:rsidTr="00E27A50">
        <w:tc>
          <w:tcPr>
            <w:tcW w:w="809" w:type="dxa"/>
            <w:vMerge/>
          </w:tcPr>
          <w:p w14:paraId="7CA197FF" w14:textId="77777777" w:rsidR="00CD29BD" w:rsidRPr="004870C7" w:rsidRDefault="00CD29BD" w:rsidP="003B2A79">
            <w:pPr>
              <w:rPr>
                <w:szCs w:val="22"/>
              </w:rPr>
            </w:pPr>
          </w:p>
        </w:tc>
        <w:tc>
          <w:tcPr>
            <w:tcW w:w="739" w:type="dxa"/>
            <w:vMerge/>
            <w:shd w:val="clear" w:color="auto" w:fill="auto"/>
            <w:vAlign w:val="center"/>
          </w:tcPr>
          <w:p w14:paraId="5E5105A0" w14:textId="77777777" w:rsidR="00CD29BD" w:rsidRPr="004870C7" w:rsidRDefault="00CD29BD" w:rsidP="00CE078C">
            <w:pPr>
              <w:jc w:val="center"/>
              <w:rPr>
                <w:szCs w:val="22"/>
              </w:rPr>
            </w:pPr>
          </w:p>
        </w:tc>
        <w:tc>
          <w:tcPr>
            <w:tcW w:w="634" w:type="dxa"/>
          </w:tcPr>
          <w:p w14:paraId="6551ABDB" w14:textId="78156148" w:rsidR="00CD29BD" w:rsidRPr="004870C7" w:rsidRDefault="00CD29BD" w:rsidP="003B2A79">
            <w:pPr>
              <w:rPr>
                <w:szCs w:val="22"/>
              </w:rPr>
            </w:pPr>
            <w:r w:rsidRPr="004870C7">
              <w:rPr>
                <w:szCs w:val="22"/>
              </w:rPr>
              <w:t>3.2.5</w:t>
            </w:r>
          </w:p>
        </w:tc>
        <w:tc>
          <w:tcPr>
            <w:tcW w:w="362" w:type="dxa"/>
            <w:shd w:val="clear" w:color="auto" w:fill="auto"/>
          </w:tcPr>
          <w:p w14:paraId="093ADD82" w14:textId="77777777" w:rsidR="00CD29BD" w:rsidRPr="004870C7" w:rsidRDefault="00CD29BD" w:rsidP="003B2A79">
            <w:pPr>
              <w:rPr>
                <w:szCs w:val="22"/>
              </w:rPr>
            </w:pPr>
          </w:p>
        </w:tc>
        <w:tc>
          <w:tcPr>
            <w:tcW w:w="362" w:type="dxa"/>
            <w:shd w:val="clear" w:color="auto" w:fill="auto"/>
          </w:tcPr>
          <w:p w14:paraId="32507BC0" w14:textId="77777777" w:rsidR="00CD29BD" w:rsidRPr="004870C7" w:rsidRDefault="00CD29BD" w:rsidP="003B2A79">
            <w:pPr>
              <w:rPr>
                <w:szCs w:val="22"/>
              </w:rPr>
            </w:pPr>
          </w:p>
        </w:tc>
        <w:tc>
          <w:tcPr>
            <w:tcW w:w="362" w:type="dxa"/>
            <w:shd w:val="clear" w:color="auto" w:fill="auto"/>
          </w:tcPr>
          <w:p w14:paraId="54A83F14" w14:textId="77777777" w:rsidR="00CD29BD" w:rsidRPr="004870C7" w:rsidRDefault="00CD29BD" w:rsidP="003B2A79">
            <w:pPr>
              <w:rPr>
                <w:szCs w:val="22"/>
              </w:rPr>
            </w:pPr>
          </w:p>
        </w:tc>
        <w:tc>
          <w:tcPr>
            <w:tcW w:w="362" w:type="dxa"/>
            <w:shd w:val="clear" w:color="auto" w:fill="auto"/>
          </w:tcPr>
          <w:p w14:paraId="5588C34C" w14:textId="77777777" w:rsidR="00CD29BD" w:rsidRPr="004870C7" w:rsidRDefault="00CD29BD" w:rsidP="003B2A79">
            <w:pPr>
              <w:rPr>
                <w:szCs w:val="22"/>
              </w:rPr>
            </w:pPr>
          </w:p>
        </w:tc>
        <w:tc>
          <w:tcPr>
            <w:tcW w:w="362" w:type="dxa"/>
            <w:shd w:val="clear" w:color="auto" w:fill="auto"/>
          </w:tcPr>
          <w:p w14:paraId="7AB91D10" w14:textId="77777777" w:rsidR="00CD29BD" w:rsidRPr="004870C7" w:rsidRDefault="00CD29BD" w:rsidP="003B2A79">
            <w:pPr>
              <w:rPr>
                <w:szCs w:val="22"/>
              </w:rPr>
            </w:pPr>
          </w:p>
        </w:tc>
        <w:tc>
          <w:tcPr>
            <w:tcW w:w="362" w:type="dxa"/>
            <w:shd w:val="clear" w:color="auto" w:fill="auto"/>
          </w:tcPr>
          <w:p w14:paraId="2A9CE294" w14:textId="77777777" w:rsidR="00CD29BD" w:rsidRPr="004870C7" w:rsidRDefault="00CD29BD" w:rsidP="003B2A79">
            <w:pPr>
              <w:rPr>
                <w:szCs w:val="22"/>
              </w:rPr>
            </w:pPr>
          </w:p>
        </w:tc>
        <w:tc>
          <w:tcPr>
            <w:tcW w:w="362" w:type="dxa"/>
            <w:shd w:val="clear" w:color="auto" w:fill="auto"/>
          </w:tcPr>
          <w:p w14:paraId="5FAD13AB" w14:textId="77777777" w:rsidR="00CD29BD" w:rsidRPr="004870C7" w:rsidRDefault="00CD29BD" w:rsidP="003B2A79">
            <w:pPr>
              <w:rPr>
                <w:szCs w:val="22"/>
              </w:rPr>
            </w:pPr>
          </w:p>
        </w:tc>
        <w:tc>
          <w:tcPr>
            <w:tcW w:w="362" w:type="dxa"/>
            <w:shd w:val="clear" w:color="auto" w:fill="auto"/>
          </w:tcPr>
          <w:p w14:paraId="0DD8610A" w14:textId="77777777" w:rsidR="00CD29BD" w:rsidRPr="004870C7" w:rsidRDefault="00CD29BD" w:rsidP="003B2A79">
            <w:pPr>
              <w:rPr>
                <w:szCs w:val="22"/>
              </w:rPr>
            </w:pPr>
          </w:p>
        </w:tc>
        <w:tc>
          <w:tcPr>
            <w:tcW w:w="362" w:type="dxa"/>
            <w:shd w:val="clear" w:color="auto" w:fill="auto"/>
          </w:tcPr>
          <w:p w14:paraId="410F6EE9" w14:textId="77777777" w:rsidR="00CD29BD" w:rsidRPr="004870C7" w:rsidRDefault="00CD29BD" w:rsidP="003B2A79">
            <w:pPr>
              <w:rPr>
                <w:szCs w:val="22"/>
              </w:rPr>
            </w:pPr>
          </w:p>
        </w:tc>
        <w:tc>
          <w:tcPr>
            <w:tcW w:w="362" w:type="dxa"/>
            <w:shd w:val="clear" w:color="auto" w:fill="auto"/>
          </w:tcPr>
          <w:p w14:paraId="081EB5EB" w14:textId="77777777" w:rsidR="00CD29BD" w:rsidRPr="004870C7" w:rsidRDefault="00CD29BD" w:rsidP="003B2A79">
            <w:pPr>
              <w:rPr>
                <w:szCs w:val="22"/>
              </w:rPr>
            </w:pPr>
          </w:p>
        </w:tc>
        <w:tc>
          <w:tcPr>
            <w:tcW w:w="362" w:type="dxa"/>
            <w:shd w:val="clear" w:color="auto" w:fill="B4C6E7" w:themeFill="accent1" w:themeFillTint="66"/>
          </w:tcPr>
          <w:p w14:paraId="1D35A09C" w14:textId="77777777" w:rsidR="00CD29BD" w:rsidRPr="004870C7" w:rsidRDefault="00CD29BD" w:rsidP="003B2A79">
            <w:pPr>
              <w:rPr>
                <w:szCs w:val="22"/>
              </w:rPr>
            </w:pPr>
          </w:p>
        </w:tc>
        <w:tc>
          <w:tcPr>
            <w:tcW w:w="362" w:type="dxa"/>
            <w:shd w:val="clear" w:color="auto" w:fill="B4C6E7" w:themeFill="accent1" w:themeFillTint="66"/>
          </w:tcPr>
          <w:p w14:paraId="2D5F48E7" w14:textId="77777777" w:rsidR="00CD29BD" w:rsidRPr="004870C7" w:rsidRDefault="00CD29BD" w:rsidP="003B2A79">
            <w:pPr>
              <w:rPr>
                <w:szCs w:val="22"/>
              </w:rPr>
            </w:pPr>
          </w:p>
        </w:tc>
        <w:tc>
          <w:tcPr>
            <w:tcW w:w="362" w:type="dxa"/>
            <w:shd w:val="clear" w:color="auto" w:fill="B4C6E7" w:themeFill="accent1" w:themeFillTint="66"/>
          </w:tcPr>
          <w:p w14:paraId="3B7CA3A7" w14:textId="77777777" w:rsidR="00CD29BD" w:rsidRPr="004870C7" w:rsidRDefault="00CD29BD" w:rsidP="003B2A79">
            <w:pPr>
              <w:rPr>
                <w:szCs w:val="22"/>
              </w:rPr>
            </w:pPr>
          </w:p>
        </w:tc>
        <w:tc>
          <w:tcPr>
            <w:tcW w:w="362" w:type="dxa"/>
            <w:shd w:val="clear" w:color="auto" w:fill="B4C6E7" w:themeFill="accent1" w:themeFillTint="66"/>
          </w:tcPr>
          <w:p w14:paraId="379F206D" w14:textId="77777777" w:rsidR="00CD29BD" w:rsidRPr="004870C7" w:rsidRDefault="00CD29BD" w:rsidP="003B2A79">
            <w:pPr>
              <w:rPr>
                <w:szCs w:val="22"/>
              </w:rPr>
            </w:pPr>
          </w:p>
        </w:tc>
        <w:tc>
          <w:tcPr>
            <w:tcW w:w="362" w:type="dxa"/>
            <w:shd w:val="clear" w:color="auto" w:fill="auto"/>
          </w:tcPr>
          <w:p w14:paraId="6EABB882" w14:textId="77777777" w:rsidR="00CD29BD" w:rsidRPr="004870C7" w:rsidRDefault="00CD29BD" w:rsidP="003B2A79">
            <w:pPr>
              <w:rPr>
                <w:szCs w:val="22"/>
              </w:rPr>
            </w:pPr>
          </w:p>
        </w:tc>
        <w:tc>
          <w:tcPr>
            <w:tcW w:w="362" w:type="dxa"/>
            <w:shd w:val="clear" w:color="auto" w:fill="auto"/>
          </w:tcPr>
          <w:p w14:paraId="4CD234EF" w14:textId="77777777" w:rsidR="00CD29BD" w:rsidRPr="004870C7" w:rsidRDefault="00CD29BD" w:rsidP="003B2A79">
            <w:pPr>
              <w:rPr>
                <w:szCs w:val="22"/>
              </w:rPr>
            </w:pPr>
          </w:p>
        </w:tc>
        <w:tc>
          <w:tcPr>
            <w:tcW w:w="362" w:type="dxa"/>
            <w:shd w:val="clear" w:color="auto" w:fill="auto"/>
          </w:tcPr>
          <w:p w14:paraId="37458945" w14:textId="77777777" w:rsidR="00CD29BD" w:rsidRPr="004870C7" w:rsidRDefault="00CD29BD" w:rsidP="003B2A79">
            <w:pPr>
              <w:rPr>
                <w:szCs w:val="22"/>
              </w:rPr>
            </w:pPr>
          </w:p>
        </w:tc>
        <w:tc>
          <w:tcPr>
            <w:tcW w:w="362" w:type="dxa"/>
            <w:shd w:val="clear" w:color="auto" w:fill="auto"/>
          </w:tcPr>
          <w:p w14:paraId="01AFEABF" w14:textId="77777777" w:rsidR="00CD29BD" w:rsidRPr="004870C7" w:rsidRDefault="00CD29BD" w:rsidP="003B2A79">
            <w:pPr>
              <w:rPr>
                <w:szCs w:val="22"/>
              </w:rPr>
            </w:pPr>
          </w:p>
        </w:tc>
        <w:tc>
          <w:tcPr>
            <w:tcW w:w="362" w:type="dxa"/>
            <w:shd w:val="clear" w:color="auto" w:fill="auto"/>
          </w:tcPr>
          <w:p w14:paraId="54CD4A39" w14:textId="77777777" w:rsidR="00CD29BD" w:rsidRPr="004870C7" w:rsidRDefault="00CD29BD" w:rsidP="003B2A79">
            <w:pPr>
              <w:rPr>
                <w:szCs w:val="22"/>
              </w:rPr>
            </w:pPr>
          </w:p>
        </w:tc>
        <w:tc>
          <w:tcPr>
            <w:tcW w:w="362" w:type="dxa"/>
            <w:shd w:val="clear" w:color="auto" w:fill="auto"/>
          </w:tcPr>
          <w:p w14:paraId="62A54652" w14:textId="77777777" w:rsidR="00CD29BD" w:rsidRPr="004870C7" w:rsidRDefault="00CD29BD" w:rsidP="003B2A79">
            <w:pPr>
              <w:rPr>
                <w:szCs w:val="22"/>
              </w:rPr>
            </w:pPr>
          </w:p>
        </w:tc>
      </w:tr>
      <w:tr w:rsidR="00CD29BD" w:rsidRPr="004870C7" w14:paraId="34AF7D2D" w14:textId="77777777" w:rsidTr="00E27A50">
        <w:tc>
          <w:tcPr>
            <w:tcW w:w="809" w:type="dxa"/>
            <w:vMerge/>
          </w:tcPr>
          <w:p w14:paraId="4A99A6B5" w14:textId="77777777" w:rsidR="00CD29BD" w:rsidRPr="004870C7" w:rsidRDefault="00CD29BD" w:rsidP="003B2A79">
            <w:pPr>
              <w:rPr>
                <w:szCs w:val="22"/>
              </w:rPr>
            </w:pPr>
          </w:p>
        </w:tc>
        <w:tc>
          <w:tcPr>
            <w:tcW w:w="739" w:type="dxa"/>
            <w:vMerge/>
            <w:shd w:val="clear" w:color="auto" w:fill="auto"/>
            <w:vAlign w:val="center"/>
          </w:tcPr>
          <w:p w14:paraId="039D5AC7" w14:textId="77777777" w:rsidR="00CD29BD" w:rsidRPr="004870C7" w:rsidRDefault="00CD29BD" w:rsidP="00CE078C">
            <w:pPr>
              <w:jc w:val="center"/>
              <w:rPr>
                <w:szCs w:val="22"/>
              </w:rPr>
            </w:pPr>
          </w:p>
        </w:tc>
        <w:tc>
          <w:tcPr>
            <w:tcW w:w="634" w:type="dxa"/>
          </w:tcPr>
          <w:p w14:paraId="46B042C8" w14:textId="29160CE7" w:rsidR="00CD29BD" w:rsidRPr="004870C7" w:rsidRDefault="00CD29BD" w:rsidP="003B2A79">
            <w:pPr>
              <w:rPr>
                <w:szCs w:val="22"/>
              </w:rPr>
            </w:pPr>
            <w:r w:rsidRPr="004870C7">
              <w:rPr>
                <w:szCs w:val="22"/>
              </w:rPr>
              <w:t>3.2.6</w:t>
            </w:r>
          </w:p>
        </w:tc>
        <w:tc>
          <w:tcPr>
            <w:tcW w:w="362" w:type="dxa"/>
            <w:shd w:val="clear" w:color="auto" w:fill="auto"/>
          </w:tcPr>
          <w:p w14:paraId="72FEDF39" w14:textId="77777777" w:rsidR="00CD29BD" w:rsidRPr="004870C7" w:rsidRDefault="00CD29BD" w:rsidP="003B2A79">
            <w:pPr>
              <w:rPr>
                <w:szCs w:val="22"/>
              </w:rPr>
            </w:pPr>
          </w:p>
        </w:tc>
        <w:tc>
          <w:tcPr>
            <w:tcW w:w="362" w:type="dxa"/>
            <w:shd w:val="clear" w:color="auto" w:fill="auto"/>
          </w:tcPr>
          <w:p w14:paraId="36C6957A" w14:textId="77777777" w:rsidR="00CD29BD" w:rsidRPr="004870C7" w:rsidRDefault="00CD29BD" w:rsidP="003B2A79">
            <w:pPr>
              <w:rPr>
                <w:szCs w:val="22"/>
              </w:rPr>
            </w:pPr>
          </w:p>
        </w:tc>
        <w:tc>
          <w:tcPr>
            <w:tcW w:w="362" w:type="dxa"/>
            <w:shd w:val="clear" w:color="auto" w:fill="auto"/>
          </w:tcPr>
          <w:p w14:paraId="7B614840" w14:textId="77777777" w:rsidR="00CD29BD" w:rsidRPr="004870C7" w:rsidRDefault="00CD29BD" w:rsidP="003B2A79">
            <w:pPr>
              <w:rPr>
                <w:szCs w:val="22"/>
              </w:rPr>
            </w:pPr>
          </w:p>
        </w:tc>
        <w:tc>
          <w:tcPr>
            <w:tcW w:w="362" w:type="dxa"/>
            <w:shd w:val="clear" w:color="auto" w:fill="auto"/>
          </w:tcPr>
          <w:p w14:paraId="5E1DC4C5" w14:textId="77777777" w:rsidR="00CD29BD" w:rsidRPr="004870C7" w:rsidRDefault="00CD29BD" w:rsidP="003B2A79">
            <w:pPr>
              <w:rPr>
                <w:szCs w:val="22"/>
              </w:rPr>
            </w:pPr>
          </w:p>
        </w:tc>
        <w:tc>
          <w:tcPr>
            <w:tcW w:w="362" w:type="dxa"/>
            <w:shd w:val="clear" w:color="auto" w:fill="auto"/>
          </w:tcPr>
          <w:p w14:paraId="3712ADC8" w14:textId="77777777" w:rsidR="00CD29BD" w:rsidRPr="004870C7" w:rsidRDefault="00CD29BD" w:rsidP="003B2A79">
            <w:pPr>
              <w:rPr>
                <w:szCs w:val="22"/>
              </w:rPr>
            </w:pPr>
          </w:p>
        </w:tc>
        <w:tc>
          <w:tcPr>
            <w:tcW w:w="362" w:type="dxa"/>
            <w:shd w:val="clear" w:color="auto" w:fill="auto"/>
          </w:tcPr>
          <w:p w14:paraId="62A1A0EE" w14:textId="77777777" w:rsidR="00CD29BD" w:rsidRPr="004870C7" w:rsidRDefault="00CD29BD" w:rsidP="003B2A79">
            <w:pPr>
              <w:rPr>
                <w:szCs w:val="22"/>
              </w:rPr>
            </w:pPr>
          </w:p>
        </w:tc>
        <w:tc>
          <w:tcPr>
            <w:tcW w:w="362" w:type="dxa"/>
            <w:shd w:val="clear" w:color="auto" w:fill="auto"/>
          </w:tcPr>
          <w:p w14:paraId="6DA7AB0B" w14:textId="77777777" w:rsidR="00CD29BD" w:rsidRPr="004870C7" w:rsidRDefault="00CD29BD" w:rsidP="003B2A79">
            <w:pPr>
              <w:rPr>
                <w:szCs w:val="22"/>
              </w:rPr>
            </w:pPr>
          </w:p>
        </w:tc>
        <w:tc>
          <w:tcPr>
            <w:tcW w:w="362" w:type="dxa"/>
            <w:shd w:val="clear" w:color="auto" w:fill="auto"/>
          </w:tcPr>
          <w:p w14:paraId="5459A401" w14:textId="77777777" w:rsidR="00CD29BD" w:rsidRPr="004870C7" w:rsidRDefault="00CD29BD" w:rsidP="003B2A79">
            <w:pPr>
              <w:rPr>
                <w:szCs w:val="22"/>
              </w:rPr>
            </w:pPr>
          </w:p>
        </w:tc>
        <w:tc>
          <w:tcPr>
            <w:tcW w:w="362" w:type="dxa"/>
            <w:shd w:val="clear" w:color="auto" w:fill="auto"/>
          </w:tcPr>
          <w:p w14:paraId="0DF5A07E" w14:textId="77777777" w:rsidR="00CD29BD" w:rsidRPr="004870C7" w:rsidRDefault="00CD29BD" w:rsidP="003B2A79">
            <w:pPr>
              <w:rPr>
                <w:szCs w:val="22"/>
              </w:rPr>
            </w:pPr>
          </w:p>
        </w:tc>
        <w:tc>
          <w:tcPr>
            <w:tcW w:w="362" w:type="dxa"/>
            <w:shd w:val="clear" w:color="auto" w:fill="auto"/>
          </w:tcPr>
          <w:p w14:paraId="231ACB5B" w14:textId="77777777" w:rsidR="00CD29BD" w:rsidRPr="004870C7" w:rsidRDefault="00CD29BD" w:rsidP="003B2A79">
            <w:pPr>
              <w:rPr>
                <w:szCs w:val="22"/>
              </w:rPr>
            </w:pPr>
          </w:p>
        </w:tc>
        <w:tc>
          <w:tcPr>
            <w:tcW w:w="362" w:type="dxa"/>
            <w:shd w:val="clear" w:color="auto" w:fill="B4C6E7" w:themeFill="accent1" w:themeFillTint="66"/>
          </w:tcPr>
          <w:p w14:paraId="55F823C5" w14:textId="77777777" w:rsidR="00CD29BD" w:rsidRPr="004870C7" w:rsidRDefault="00CD29BD" w:rsidP="003B2A79">
            <w:pPr>
              <w:rPr>
                <w:szCs w:val="22"/>
              </w:rPr>
            </w:pPr>
          </w:p>
        </w:tc>
        <w:tc>
          <w:tcPr>
            <w:tcW w:w="362" w:type="dxa"/>
            <w:shd w:val="clear" w:color="auto" w:fill="B4C6E7" w:themeFill="accent1" w:themeFillTint="66"/>
          </w:tcPr>
          <w:p w14:paraId="2B8121DF" w14:textId="77777777" w:rsidR="00CD29BD" w:rsidRPr="004870C7" w:rsidRDefault="00CD29BD" w:rsidP="003B2A79">
            <w:pPr>
              <w:rPr>
                <w:szCs w:val="22"/>
              </w:rPr>
            </w:pPr>
          </w:p>
        </w:tc>
        <w:tc>
          <w:tcPr>
            <w:tcW w:w="362" w:type="dxa"/>
            <w:shd w:val="clear" w:color="auto" w:fill="B4C6E7" w:themeFill="accent1" w:themeFillTint="66"/>
          </w:tcPr>
          <w:p w14:paraId="13FD31AB" w14:textId="77777777" w:rsidR="00CD29BD" w:rsidRPr="004870C7" w:rsidRDefault="00CD29BD" w:rsidP="003B2A79">
            <w:pPr>
              <w:rPr>
                <w:szCs w:val="22"/>
              </w:rPr>
            </w:pPr>
          </w:p>
        </w:tc>
        <w:tc>
          <w:tcPr>
            <w:tcW w:w="362" w:type="dxa"/>
            <w:shd w:val="clear" w:color="auto" w:fill="B4C6E7" w:themeFill="accent1" w:themeFillTint="66"/>
          </w:tcPr>
          <w:p w14:paraId="736735CC" w14:textId="77777777" w:rsidR="00CD29BD" w:rsidRPr="004870C7" w:rsidRDefault="00CD29BD" w:rsidP="003B2A79">
            <w:pPr>
              <w:rPr>
                <w:szCs w:val="22"/>
              </w:rPr>
            </w:pPr>
          </w:p>
        </w:tc>
        <w:tc>
          <w:tcPr>
            <w:tcW w:w="362" w:type="dxa"/>
            <w:shd w:val="clear" w:color="auto" w:fill="auto"/>
          </w:tcPr>
          <w:p w14:paraId="5987DAA7" w14:textId="77777777" w:rsidR="00CD29BD" w:rsidRPr="004870C7" w:rsidRDefault="00CD29BD" w:rsidP="003B2A79">
            <w:pPr>
              <w:rPr>
                <w:szCs w:val="22"/>
              </w:rPr>
            </w:pPr>
          </w:p>
        </w:tc>
        <w:tc>
          <w:tcPr>
            <w:tcW w:w="362" w:type="dxa"/>
            <w:shd w:val="clear" w:color="auto" w:fill="auto"/>
          </w:tcPr>
          <w:p w14:paraId="4BDC2923" w14:textId="77777777" w:rsidR="00CD29BD" w:rsidRPr="004870C7" w:rsidRDefault="00CD29BD" w:rsidP="003B2A79">
            <w:pPr>
              <w:rPr>
                <w:szCs w:val="22"/>
              </w:rPr>
            </w:pPr>
          </w:p>
        </w:tc>
        <w:tc>
          <w:tcPr>
            <w:tcW w:w="362" w:type="dxa"/>
            <w:shd w:val="clear" w:color="auto" w:fill="auto"/>
          </w:tcPr>
          <w:p w14:paraId="5822EFD7" w14:textId="77777777" w:rsidR="00CD29BD" w:rsidRPr="004870C7" w:rsidRDefault="00CD29BD" w:rsidP="003B2A79">
            <w:pPr>
              <w:rPr>
                <w:szCs w:val="22"/>
              </w:rPr>
            </w:pPr>
          </w:p>
        </w:tc>
        <w:tc>
          <w:tcPr>
            <w:tcW w:w="362" w:type="dxa"/>
            <w:shd w:val="clear" w:color="auto" w:fill="auto"/>
          </w:tcPr>
          <w:p w14:paraId="4F57F9EC" w14:textId="77777777" w:rsidR="00CD29BD" w:rsidRPr="004870C7" w:rsidRDefault="00CD29BD" w:rsidP="003B2A79">
            <w:pPr>
              <w:rPr>
                <w:szCs w:val="22"/>
              </w:rPr>
            </w:pPr>
          </w:p>
        </w:tc>
        <w:tc>
          <w:tcPr>
            <w:tcW w:w="362" w:type="dxa"/>
            <w:shd w:val="clear" w:color="auto" w:fill="auto"/>
          </w:tcPr>
          <w:p w14:paraId="7D1BC55F" w14:textId="77777777" w:rsidR="00CD29BD" w:rsidRPr="004870C7" w:rsidRDefault="00CD29BD" w:rsidP="003B2A79">
            <w:pPr>
              <w:rPr>
                <w:szCs w:val="22"/>
              </w:rPr>
            </w:pPr>
          </w:p>
        </w:tc>
        <w:tc>
          <w:tcPr>
            <w:tcW w:w="362" w:type="dxa"/>
            <w:shd w:val="clear" w:color="auto" w:fill="auto"/>
          </w:tcPr>
          <w:p w14:paraId="2D6FCA45" w14:textId="77777777" w:rsidR="00CD29BD" w:rsidRPr="004870C7" w:rsidRDefault="00CD29BD" w:rsidP="003B2A79">
            <w:pPr>
              <w:rPr>
                <w:szCs w:val="22"/>
              </w:rPr>
            </w:pPr>
          </w:p>
        </w:tc>
      </w:tr>
      <w:tr w:rsidR="00CD29BD" w:rsidRPr="004870C7" w14:paraId="4F9A8ECA" w14:textId="77777777" w:rsidTr="00E27A50">
        <w:tc>
          <w:tcPr>
            <w:tcW w:w="809" w:type="dxa"/>
            <w:vMerge/>
          </w:tcPr>
          <w:p w14:paraId="00D1E877" w14:textId="77777777" w:rsidR="00CD29BD" w:rsidRPr="004870C7" w:rsidRDefault="00CD29BD" w:rsidP="003B2A79">
            <w:pPr>
              <w:rPr>
                <w:szCs w:val="22"/>
              </w:rPr>
            </w:pPr>
          </w:p>
        </w:tc>
        <w:tc>
          <w:tcPr>
            <w:tcW w:w="739" w:type="dxa"/>
            <w:shd w:val="clear" w:color="auto" w:fill="auto"/>
            <w:vAlign w:val="center"/>
          </w:tcPr>
          <w:p w14:paraId="0FCFC89E" w14:textId="2CF31CE0" w:rsidR="00CD29BD" w:rsidRPr="004870C7" w:rsidRDefault="00CD29BD" w:rsidP="00CE078C">
            <w:pPr>
              <w:jc w:val="center"/>
              <w:rPr>
                <w:szCs w:val="22"/>
              </w:rPr>
            </w:pPr>
            <w:r w:rsidRPr="004870C7">
              <w:rPr>
                <w:szCs w:val="22"/>
              </w:rPr>
              <w:t>3.3</w:t>
            </w:r>
          </w:p>
        </w:tc>
        <w:tc>
          <w:tcPr>
            <w:tcW w:w="634" w:type="dxa"/>
          </w:tcPr>
          <w:p w14:paraId="31500F65" w14:textId="7A18B034" w:rsidR="00CD29BD" w:rsidRPr="004870C7" w:rsidRDefault="00CD29BD" w:rsidP="003B2A79">
            <w:pPr>
              <w:rPr>
                <w:szCs w:val="22"/>
              </w:rPr>
            </w:pPr>
            <w:r w:rsidRPr="004870C7">
              <w:rPr>
                <w:szCs w:val="22"/>
              </w:rPr>
              <w:t>3.3.1</w:t>
            </w:r>
          </w:p>
        </w:tc>
        <w:tc>
          <w:tcPr>
            <w:tcW w:w="362" w:type="dxa"/>
            <w:shd w:val="clear" w:color="auto" w:fill="auto"/>
          </w:tcPr>
          <w:p w14:paraId="676B6B4B" w14:textId="77777777" w:rsidR="00CD29BD" w:rsidRPr="004870C7" w:rsidRDefault="00CD29BD" w:rsidP="003B2A79">
            <w:pPr>
              <w:rPr>
                <w:szCs w:val="22"/>
              </w:rPr>
            </w:pPr>
          </w:p>
        </w:tc>
        <w:tc>
          <w:tcPr>
            <w:tcW w:w="362" w:type="dxa"/>
            <w:shd w:val="clear" w:color="auto" w:fill="auto"/>
          </w:tcPr>
          <w:p w14:paraId="1F001D63" w14:textId="77777777" w:rsidR="00CD29BD" w:rsidRPr="004870C7" w:rsidRDefault="00CD29BD" w:rsidP="003B2A79">
            <w:pPr>
              <w:rPr>
                <w:szCs w:val="22"/>
              </w:rPr>
            </w:pPr>
          </w:p>
        </w:tc>
        <w:tc>
          <w:tcPr>
            <w:tcW w:w="362" w:type="dxa"/>
            <w:shd w:val="clear" w:color="auto" w:fill="auto"/>
          </w:tcPr>
          <w:p w14:paraId="627427CB" w14:textId="77777777" w:rsidR="00CD29BD" w:rsidRPr="004870C7" w:rsidRDefault="00CD29BD" w:rsidP="003B2A79">
            <w:pPr>
              <w:rPr>
                <w:szCs w:val="22"/>
              </w:rPr>
            </w:pPr>
          </w:p>
        </w:tc>
        <w:tc>
          <w:tcPr>
            <w:tcW w:w="362" w:type="dxa"/>
            <w:shd w:val="clear" w:color="auto" w:fill="auto"/>
          </w:tcPr>
          <w:p w14:paraId="1D2785DE" w14:textId="77777777" w:rsidR="00CD29BD" w:rsidRPr="004870C7" w:rsidRDefault="00CD29BD" w:rsidP="003B2A79">
            <w:pPr>
              <w:rPr>
                <w:szCs w:val="22"/>
              </w:rPr>
            </w:pPr>
          </w:p>
        </w:tc>
        <w:tc>
          <w:tcPr>
            <w:tcW w:w="362" w:type="dxa"/>
            <w:shd w:val="clear" w:color="auto" w:fill="auto"/>
          </w:tcPr>
          <w:p w14:paraId="10475770" w14:textId="77777777" w:rsidR="00CD29BD" w:rsidRPr="004870C7" w:rsidRDefault="00CD29BD" w:rsidP="003B2A79">
            <w:pPr>
              <w:rPr>
                <w:szCs w:val="22"/>
              </w:rPr>
            </w:pPr>
          </w:p>
        </w:tc>
        <w:tc>
          <w:tcPr>
            <w:tcW w:w="362" w:type="dxa"/>
            <w:shd w:val="clear" w:color="auto" w:fill="auto"/>
          </w:tcPr>
          <w:p w14:paraId="1BF22999" w14:textId="77777777" w:rsidR="00CD29BD" w:rsidRPr="004870C7" w:rsidRDefault="00CD29BD" w:rsidP="003B2A79">
            <w:pPr>
              <w:rPr>
                <w:szCs w:val="22"/>
              </w:rPr>
            </w:pPr>
          </w:p>
        </w:tc>
        <w:tc>
          <w:tcPr>
            <w:tcW w:w="362" w:type="dxa"/>
            <w:shd w:val="clear" w:color="auto" w:fill="auto"/>
          </w:tcPr>
          <w:p w14:paraId="3432981E" w14:textId="77777777" w:rsidR="00CD29BD" w:rsidRPr="004870C7" w:rsidRDefault="00CD29BD" w:rsidP="003B2A79">
            <w:pPr>
              <w:rPr>
                <w:szCs w:val="22"/>
              </w:rPr>
            </w:pPr>
          </w:p>
        </w:tc>
        <w:tc>
          <w:tcPr>
            <w:tcW w:w="362" w:type="dxa"/>
            <w:shd w:val="clear" w:color="auto" w:fill="auto"/>
          </w:tcPr>
          <w:p w14:paraId="14027FF5" w14:textId="77777777" w:rsidR="00CD29BD" w:rsidRPr="004870C7" w:rsidRDefault="00CD29BD" w:rsidP="003B2A79">
            <w:pPr>
              <w:rPr>
                <w:szCs w:val="22"/>
              </w:rPr>
            </w:pPr>
          </w:p>
        </w:tc>
        <w:tc>
          <w:tcPr>
            <w:tcW w:w="362" w:type="dxa"/>
            <w:shd w:val="clear" w:color="auto" w:fill="auto"/>
          </w:tcPr>
          <w:p w14:paraId="3EF3914D" w14:textId="77777777" w:rsidR="00CD29BD" w:rsidRPr="004870C7" w:rsidRDefault="00CD29BD" w:rsidP="003B2A79">
            <w:pPr>
              <w:rPr>
                <w:szCs w:val="22"/>
              </w:rPr>
            </w:pPr>
          </w:p>
        </w:tc>
        <w:tc>
          <w:tcPr>
            <w:tcW w:w="362" w:type="dxa"/>
            <w:shd w:val="clear" w:color="auto" w:fill="auto"/>
          </w:tcPr>
          <w:p w14:paraId="211A12C3" w14:textId="77777777" w:rsidR="00CD29BD" w:rsidRPr="004870C7" w:rsidRDefault="00CD29BD" w:rsidP="003B2A79">
            <w:pPr>
              <w:rPr>
                <w:szCs w:val="22"/>
              </w:rPr>
            </w:pPr>
          </w:p>
        </w:tc>
        <w:tc>
          <w:tcPr>
            <w:tcW w:w="362" w:type="dxa"/>
            <w:shd w:val="clear" w:color="auto" w:fill="B4C6E7" w:themeFill="accent1" w:themeFillTint="66"/>
          </w:tcPr>
          <w:p w14:paraId="004E89E0" w14:textId="77777777" w:rsidR="00CD29BD" w:rsidRPr="004870C7" w:rsidRDefault="00CD29BD" w:rsidP="003B2A79">
            <w:pPr>
              <w:rPr>
                <w:szCs w:val="22"/>
              </w:rPr>
            </w:pPr>
          </w:p>
        </w:tc>
        <w:tc>
          <w:tcPr>
            <w:tcW w:w="362" w:type="dxa"/>
            <w:shd w:val="clear" w:color="auto" w:fill="B4C6E7" w:themeFill="accent1" w:themeFillTint="66"/>
          </w:tcPr>
          <w:p w14:paraId="600C1158" w14:textId="77777777" w:rsidR="00CD29BD" w:rsidRPr="004870C7" w:rsidRDefault="00CD29BD" w:rsidP="003B2A79">
            <w:pPr>
              <w:rPr>
                <w:szCs w:val="22"/>
              </w:rPr>
            </w:pPr>
          </w:p>
        </w:tc>
        <w:tc>
          <w:tcPr>
            <w:tcW w:w="362" w:type="dxa"/>
            <w:shd w:val="clear" w:color="auto" w:fill="B4C6E7" w:themeFill="accent1" w:themeFillTint="66"/>
          </w:tcPr>
          <w:p w14:paraId="4A0234F0" w14:textId="77777777" w:rsidR="00CD29BD" w:rsidRPr="004870C7" w:rsidRDefault="00CD29BD" w:rsidP="003B2A79">
            <w:pPr>
              <w:rPr>
                <w:szCs w:val="22"/>
              </w:rPr>
            </w:pPr>
          </w:p>
        </w:tc>
        <w:tc>
          <w:tcPr>
            <w:tcW w:w="362" w:type="dxa"/>
            <w:shd w:val="clear" w:color="auto" w:fill="B4C6E7" w:themeFill="accent1" w:themeFillTint="66"/>
          </w:tcPr>
          <w:p w14:paraId="51B5A67D" w14:textId="77777777" w:rsidR="00CD29BD" w:rsidRPr="004870C7" w:rsidRDefault="00CD29BD" w:rsidP="003B2A79">
            <w:pPr>
              <w:rPr>
                <w:szCs w:val="22"/>
              </w:rPr>
            </w:pPr>
          </w:p>
        </w:tc>
        <w:tc>
          <w:tcPr>
            <w:tcW w:w="362" w:type="dxa"/>
            <w:shd w:val="clear" w:color="auto" w:fill="auto"/>
          </w:tcPr>
          <w:p w14:paraId="40C0F84E" w14:textId="77777777" w:rsidR="00CD29BD" w:rsidRPr="004870C7" w:rsidRDefault="00CD29BD" w:rsidP="003B2A79">
            <w:pPr>
              <w:rPr>
                <w:szCs w:val="22"/>
              </w:rPr>
            </w:pPr>
          </w:p>
        </w:tc>
        <w:tc>
          <w:tcPr>
            <w:tcW w:w="362" w:type="dxa"/>
            <w:shd w:val="clear" w:color="auto" w:fill="auto"/>
          </w:tcPr>
          <w:p w14:paraId="46029B95" w14:textId="77777777" w:rsidR="00CD29BD" w:rsidRPr="004870C7" w:rsidRDefault="00CD29BD" w:rsidP="003B2A79">
            <w:pPr>
              <w:rPr>
                <w:szCs w:val="22"/>
              </w:rPr>
            </w:pPr>
          </w:p>
        </w:tc>
        <w:tc>
          <w:tcPr>
            <w:tcW w:w="362" w:type="dxa"/>
            <w:shd w:val="clear" w:color="auto" w:fill="auto"/>
          </w:tcPr>
          <w:p w14:paraId="6D177566" w14:textId="77777777" w:rsidR="00CD29BD" w:rsidRPr="004870C7" w:rsidRDefault="00CD29BD" w:rsidP="003B2A79">
            <w:pPr>
              <w:rPr>
                <w:szCs w:val="22"/>
              </w:rPr>
            </w:pPr>
          </w:p>
        </w:tc>
        <w:tc>
          <w:tcPr>
            <w:tcW w:w="362" w:type="dxa"/>
            <w:shd w:val="clear" w:color="auto" w:fill="auto"/>
          </w:tcPr>
          <w:p w14:paraId="37FFB4D4" w14:textId="77777777" w:rsidR="00CD29BD" w:rsidRPr="004870C7" w:rsidRDefault="00CD29BD" w:rsidP="003B2A79">
            <w:pPr>
              <w:rPr>
                <w:szCs w:val="22"/>
              </w:rPr>
            </w:pPr>
          </w:p>
        </w:tc>
        <w:tc>
          <w:tcPr>
            <w:tcW w:w="362" w:type="dxa"/>
            <w:shd w:val="clear" w:color="auto" w:fill="auto"/>
          </w:tcPr>
          <w:p w14:paraId="67C8FCB5" w14:textId="77777777" w:rsidR="00CD29BD" w:rsidRPr="004870C7" w:rsidRDefault="00CD29BD" w:rsidP="003B2A79">
            <w:pPr>
              <w:rPr>
                <w:szCs w:val="22"/>
              </w:rPr>
            </w:pPr>
          </w:p>
        </w:tc>
        <w:tc>
          <w:tcPr>
            <w:tcW w:w="362" w:type="dxa"/>
            <w:shd w:val="clear" w:color="auto" w:fill="auto"/>
          </w:tcPr>
          <w:p w14:paraId="2493A7D6" w14:textId="77777777" w:rsidR="00CD29BD" w:rsidRPr="004870C7" w:rsidRDefault="00CD29BD" w:rsidP="003B2A79">
            <w:pPr>
              <w:rPr>
                <w:szCs w:val="22"/>
              </w:rPr>
            </w:pPr>
          </w:p>
        </w:tc>
      </w:tr>
      <w:tr w:rsidR="00CD29BD" w:rsidRPr="004870C7" w14:paraId="551D2523" w14:textId="77777777" w:rsidTr="00D35B7F">
        <w:tc>
          <w:tcPr>
            <w:tcW w:w="809" w:type="dxa"/>
            <w:vMerge w:val="restart"/>
            <w:vAlign w:val="center"/>
          </w:tcPr>
          <w:p w14:paraId="04F7C468" w14:textId="2B2097AC" w:rsidR="00CD29BD" w:rsidRPr="004870C7" w:rsidRDefault="00CD29BD" w:rsidP="00983641">
            <w:pPr>
              <w:jc w:val="center"/>
              <w:rPr>
                <w:szCs w:val="22"/>
              </w:rPr>
            </w:pPr>
            <w:r w:rsidRPr="004870C7">
              <w:rPr>
                <w:szCs w:val="22"/>
              </w:rPr>
              <w:t>Component 4</w:t>
            </w:r>
          </w:p>
        </w:tc>
        <w:tc>
          <w:tcPr>
            <w:tcW w:w="739" w:type="dxa"/>
            <w:vMerge w:val="restart"/>
            <w:shd w:val="clear" w:color="auto" w:fill="auto"/>
            <w:vAlign w:val="center"/>
          </w:tcPr>
          <w:p w14:paraId="30368E58" w14:textId="46799215" w:rsidR="00CD29BD" w:rsidRPr="004870C7" w:rsidRDefault="00CD29BD" w:rsidP="00CE078C">
            <w:pPr>
              <w:jc w:val="center"/>
              <w:rPr>
                <w:szCs w:val="22"/>
              </w:rPr>
            </w:pPr>
            <w:r w:rsidRPr="004870C7">
              <w:rPr>
                <w:szCs w:val="22"/>
              </w:rPr>
              <w:t>4.1</w:t>
            </w:r>
          </w:p>
        </w:tc>
        <w:tc>
          <w:tcPr>
            <w:tcW w:w="634" w:type="dxa"/>
          </w:tcPr>
          <w:p w14:paraId="37FF812A" w14:textId="12BB7007" w:rsidR="00CD29BD" w:rsidRPr="004870C7" w:rsidRDefault="00CD29BD" w:rsidP="003B2A79">
            <w:pPr>
              <w:rPr>
                <w:szCs w:val="22"/>
              </w:rPr>
            </w:pPr>
            <w:r w:rsidRPr="004870C7">
              <w:rPr>
                <w:szCs w:val="22"/>
              </w:rPr>
              <w:t>4.1.1</w:t>
            </w:r>
          </w:p>
        </w:tc>
        <w:tc>
          <w:tcPr>
            <w:tcW w:w="362" w:type="dxa"/>
            <w:shd w:val="clear" w:color="auto" w:fill="auto"/>
          </w:tcPr>
          <w:p w14:paraId="600AEEC4" w14:textId="77777777" w:rsidR="00CD29BD" w:rsidRPr="004870C7" w:rsidRDefault="00CD29BD" w:rsidP="003B2A79">
            <w:pPr>
              <w:rPr>
                <w:szCs w:val="22"/>
              </w:rPr>
            </w:pPr>
          </w:p>
        </w:tc>
        <w:tc>
          <w:tcPr>
            <w:tcW w:w="362" w:type="dxa"/>
            <w:shd w:val="clear" w:color="auto" w:fill="auto"/>
          </w:tcPr>
          <w:p w14:paraId="1E76AC1F" w14:textId="77777777" w:rsidR="00CD29BD" w:rsidRPr="004870C7" w:rsidRDefault="00CD29BD" w:rsidP="003B2A79">
            <w:pPr>
              <w:rPr>
                <w:szCs w:val="22"/>
              </w:rPr>
            </w:pPr>
          </w:p>
        </w:tc>
        <w:tc>
          <w:tcPr>
            <w:tcW w:w="362" w:type="dxa"/>
            <w:shd w:val="clear" w:color="auto" w:fill="auto"/>
          </w:tcPr>
          <w:p w14:paraId="49B5EFB6" w14:textId="77777777" w:rsidR="00CD29BD" w:rsidRPr="004870C7" w:rsidRDefault="00CD29BD" w:rsidP="003B2A79">
            <w:pPr>
              <w:rPr>
                <w:szCs w:val="22"/>
              </w:rPr>
            </w:pPr>
          </w:p>
        </w:tc>
        <w:tc>
          <w:tcPr>
            <w:tcW w:w="362" w:type="dxa"/>
            <w:shd w:val="clear" w:color="auto" w:fill="B4C6E7" w:themeFill="accent1" w:themeFillTint="66"/>
          </w:tcPr>
          <w:p w14:paraId="63B9F9C6" w14:textId="77777777" w:rsidR="00CD29BD" w:rsidRPr="004870C7" w:rsidRDefault="00CD29BD" w:rsidP="003B2A79">
            <w:pPr>
              <w:rPr>
                <w:szCs w:val="22"/>
              </w:rPr>
            </w:pPr>
          </w:p>
        </w:tc>
        <w:tc>
          <w:tcPr>
            <w:tcW w:w="362" w:type="dxa"/>
            <w:shd w:val="clear" w:color="auto" w:fill="B4C6E7" w:themeFill="accent1" w:themeFillTint="66"/>
          </w:tcPr>
          <w:p w14:paraId="70B006E8" w14:textId="77777777" w:rsidR="00CD29BD" w:rsidRPr="004870C7" w:rsidRDefault="00CD29BD" w:rsidP="003B2A79">
            <w:pPr>
              <w:rPr>
                <w:szCs w:val="22"/>
              </w:rPr>
            </w:pPr>
          </w:p>
        </w:tc>
        <w:tc>
          <w:tcPr>
            <w:tcW w:w="362" w:type="dxa"/>
            <w:shd w:val="clear" w:color="auto" w:fill="B4C6E7" w:themeFill="accent1" w:themeFillTint="66"/>
          </w:tcPr>
          <w:p w14:paraId="2C05D44A" w14:textId="77777777" w:rsidR="00CD29BD" w:rsidRPr="004870C7" w:rsidRDefault="00CD29BD" w:rsidP="003B2A79">
            <w:pPr>
              <w:rPr>
                <w:szCs w:val="22"/>
              </w:rPr>
            </w:pPr>
          </w:p>
        </w:tc>
        <w:tc>
          <w:tcPr>
            <w:tcW w:w="362" w:type="dxa"/>
            <w:shd w:val="clear" w:color="auto" w:fill="B4C6E7" w:themeFill="accent1" w:themeFillTint="66"/>
          </w:tcPr>
          <w:p w14:paraId="76ADE4D6" w14:textId="77777777" w:rsidR="00CD29BD" w:rsidRPr="004870C7" w:rsidRDefault="00CD29BD" w:rsidP="003B2A79">
            <w:pPr>
              <w:rPr>
                <w:szCs w:val="22"/>
              </w:rPr>
            </w:pPr>
          </w:p>
        </w:tc>
        <w:tc>
          <w:tcPr>
            <w:tcW w:w="362" w:type="dxa"/>
            <w:shd w:val="clear" w:color="auto" w:fill="B4C6E7" w:themeFill="accent1" w:themeFillTint="66"/>
          </w:tcPr>
          <w:p w14:paraId="0830CA4D" w14:textId="77777777" w:rsidR="00CD29BD" w:rsidRPr="004870C7" w:rsidRDefault="00CD29BD" w:rsidP="003B2A79">
            <w:pPr>
              <w:rPr>
                <w:szCs w:val="22"/>
              </w:rPr>
            </w:pPr>
          </w:p>
        </w:tc>
        <w:tc>
          <w:tcPr>
            <w:tcW w:w="362" w:type="dxa"/>
            <w:shd w:val="clear" w:color="auto" w:fill="B4C6E7" w:themeFill="accent1" w:themeFillTint="66"/>
          </w:tcPr>
          <w:p w14:paraId="52CD9675" w14:textId="77777777" w:rsidR="00CD29BD" w:rsidRPr="004870C7" w:rsidRDefault="00CD29BD" w:rsidP="003B2A79">
            <w:pPr>
              <w:rPr>
                <w:szCs w:val="22"/>
              </w:rPr>
            </w:pPr>
          </w:p>
        </w:tc>
        <w:tc>
          <w:tcPr>
            <w:tcW w:w="362" w:type="dxa"/>
            <w:shd w:val="clear" w:color="auto" w:fill="B4C6E7" w:themeFill="accent1" w:themeFillTint="66"/>
          </w:tcPr>
          <w:p w14:paraId="3411DFF8" w14:textId="77777777" w:rsidR="00CD29BD" w:rsidRPr="004870C7" w:rsidRDefault="00CD29BD" w:rsidP="003B2A79">
            <w:pPr>
              <w:rPr>
                <w:szCs w:val="22"/>
              </w:rPr>
            </w:pPr>
          </w:p>
        </w:tc>
        <w:tc>
          <w:tcPr>
            <w:tcW w:w="362" w:type="dxa"/>
            <w:shd w:val="clear" w:color="auto" w:fill="auto"/>
          </w:tcPr>
          <w:p w14:paraId="2CCA024A" w14:textId="77777777" w:rsidR="00CD29BD" w:rsidRPr="004870C7" w:rsidRDefault="00CD29BD" w:rsidP="003B2A79">
            <w:pPr>
              <w:rPr>
                <w:szCs w:val="22"/>
              </w:rPr>
            </w:pPr>
          </w:p>
        </w:tc>
        <w:tc>
          <w:tcPr>
            <w:tcW w:w="362" w:type="dxa"/>
            <w:shd w:val="clear" w:color="auto" w:fill="auto"/>
          </w:tcPr>
          <w:p w14:paraId="5CC69883" w14:textId="77777777" w:rsidR="00CD29BD" w:rsidRPr="004870C7" w:rsidRDefault="00CD29BD" w:rsidP="003B2A79">
            <w:pPr>
              <w:rPr>
                <w:szCs w:val="22"/>
              </w:rPr>
            </w:pPr>
          </w:p>
        </w:tc>
        <w:tc>
          <w:tcPr>
            <w:tcW w:w="362" w:type="dxa"/>
            <w:shd w:val="clear" w:color="auto" w:fill="auto"/>
          </w:tcPr>
          <w:p w14:paraId="49D5CC4E" w14:textId="77777777" w:rsidR="00CD29BD" w:rsidRPr="004870C7" w:rsidRDefault="00CD29BD" w:rsidP="003B2A79">
            <w:pPr>
              <w:rPr>
                <w:szCs w:val="22"/>
              </w:rPr>
            </w:pPr>
          </w:p>
        </w:tc>
        <w:tc>
          <w:tcPr>
            <w:tcW w:w="362" w:type="dxa"/>
            <w:shd w:val="clear" w:color="auto" w:fill="auto"/>
          </w:tcPr>
          <w:p w14:paraId="2A0BA9B3" w14:textId="77777777" w:rsidR="00CD29BD" w:rsidRPr="004870C7" w:rsidRDefault="00CD29BD" w:rsidP="003B2A79">
            <w:pPr>
              <w:rPr>
                <w:szCs w:val="22"/>
              </w:rPr>
            </w:pPr>
          </w:p>
        </w:tc>
        <w:tc>
          <w:tcPr>
            <w:tcW w:w="362" w:type="dxa"/>
            <w:shd w:val="clear" w:color="auto" w:fill="auto"/>
          </w:tcPr>
          <w:p w14:paraId="1C79F7F2" w14:textId="77777777" w:rsidR="00CD29BD" w:rsidRPr="004870C7" w:rsidRDefault="00CD29BD" w:rsidP="003B2A79">
            <w:pPr>
              <w:rPr>
                <w:szCs w:val="22"/>
              </w:rPr>
            </w:pPr>
          </w:p>
        </w:tc>
        <w:tc>
          <w:tcPr>
            <w:tcW w:w="362" w:type="dxa"/>
            <w:shd w:val="clear" w:color="auto" w:fill="auto"/>
          </w:tcPr>
          <w:p w14:paraId="0E29B012" w14:textId="77777777" w:rsidR="00CD29BD" w:rsidRPr="004870C7" w:rsidRDefault="00CD29BD" w:rsidP="003B2A79">
            <w:pPr>
              <w:rPr>
                <w:szCs w:val="22"/>
              </w:rPr>
            </w:pPr>
          </w:p>
        </w:tc>
        <w:tc>
          <w:tcPr>
            <w:tcW w:w="362" w:type="dxa"/>
            <w:shd w:val="clear" w:color="auto" w:fill="auto"/>
          </w:tcPr>
          <w:p w14:paraId="70545C02" w14:textId="77777777" w:rsidR="00CD29BD" w:rsidRPr="004870C7" w:rsidRDefault="00CD29BD" w:rsidP="003B2A79">
            <w:pPr>
              <w:rPr>
                <w:szCs w:val="22"/>
              </w:rPr>
            </w:pPr>
          </w:p>
        </w:tc>
        <w:tc>
          <w:tcPr>
            <w:tcW w:w="362" w:type="dxa"/>
            <w:shd w:val="clear" w:color="auto" w:fill="auto"/>
          </w:tcPr>
          <w:p w14:paraId="6F5A9EC7" w14:textId="77777777" w:rsidR="00CD29BD" w:rsidRPr="004870C7" w:rsidRDefault="00CD29BD" w:rsidP="003B2A79">
            <w:pPr>
              <w:rPr>
                <w:szCs w:val="22"/>
              </w:rPr>
            </w:pPr>
          </w:p>
        </w:tc>
        <w:tc>
          <w:tcPr>
            <w:tcW w:w="362" w:type="dxa"/>
            <w:shd w:val="clear" w:color="auto" w:fill="auto"/>
          </w:tcPr>
          <w:p w14:paraId="028A216C" w14:textId="77777777" w:rsidR="00CD29BD" w:rsidRPr="004870C7" w:rsidRDefault="00CD29BD" w:rsidP="003B2A79">
            <w:pPr>
              <w:rPr>
                <w:szCs w:val="22"/>
              </w:rPr>
            </w:pPr>
          </w:p>
        </w:tc>
        <w:tc>
          <w:tcPr>
            <w:tcW w:w="362" w:type="dxa"/>
            <w:shd w:val="clear" w:color="auto" w:fill="auto"/>
          </w:tcPr>
          <w:p w14:paraId="0830D9B8" w14:textId="77777777" w:rsidR="00CD29BD" w:rsidRPr="004870C7" w:rsidRDefault="00CD29BD" w:rsidP="003B2A79">
            <w:pPr>
              <w:rPr>
                <w:szCs w:val="22"/>
              </w:rPr>
            </w:pPr>
          </w:p>
        </w:tc>
      </w:tr>
      <w:tr w:rsidR="00CD29BD" w:rsidRPr="004870C7" w14:paraId="45E8DC69" w14:textId="77777777" w:rsidTr="00D35B7F">
        <w:tc>
          <w:tcPr>
            <w:tcW w:w="809" w:type="dxa"/>
            <w:vMerge/>
          </w:tcPr>
          <w:p w14:paraId="2F4C70FD" w14:textId="77777777" w:rsidR="00CD29BD" w:rsidRPr="004870C7" w:rsidRDefault="00CD29BD" w:rsidP="003B2A79">
            <w:pPr>
              <w:rPr>
                <w:szCs w:val="22"/>
              </w:rPr>
            </w:pPr>
          </w:p>
        </w:tc>
        <w:tc>
          <w:tcPr>
            <w:tcW w:w="739" w:type="dxa"/>
            <w:vMerge/>
            <w:shd w:val="clear" w:color="auto" w:fill="auto"/>
            <w:vAlign w:val="center"/>
          </w:tcPr>
          <w:p w14:paraId="22975D7F" w14:textId="77777777" w:rsidR="00CD29BD" w:rsidRPr="004870C7" w:rsidRDefault="00CD29BD" w:rsidP="00CE078C">
            <w:pPr>
              <w:jc w:val="center"/>
              <w:rPr>
                <w:szCs w:val="22"/>
              </w:rPr>
            </w:pPr>
          </w:p>
        </w:tc>
        <w:tc>
          <w:tcPr>
            <w:tcW w:w="634" w:type="dxa"/>
          </w:tcPr>
          <w:p w14:paraId="23EAA4D5" w14:textId="52B526FF" w:rsidR="00CD29BD" w:rsidRPr="004870C7" w:rsidRDefault="00CD29BD" w:rsidP="003B2A79">
            <w:pPr>
              <w:rPr>
                <w:szCs w:val="22"/>
              </w:rPr>
            </w:pPr>
            <w:r w:rsidRPr="004870C7">
              <w:rPr>
                <w:szCs w:val="22"/>
              </w:rPr>
              <w:t>4.1.2</w:t>
            </w:r>
          </w:p>
        </w:tc>
        <w:tc>
          <w:tcPr>
            <w:tcW w:w="362" w:type="dxa"/>
            <w:shd w:val="clear" w:color="auto" w:fill="auto"/>
          </w:tcPr>
          <w:p w14:paraId="7BC25518" w14:textId="77777777" w:rsidR="00CD29BD" w:rsidRPr="004870C7" w:rsidRDefault="00CD29BD" w:rsidP="003B2A79">
            <w:pPr>
              <w:rPr>
                <w:szCs w:val="22"/>
              </w:rPr>
            </w:pPr>
          </w:p>
        </w:tc>
        <w:tc>
          <w:tcPr>
            <w:tcW w:w="362" w:type="dxa"/>
            <w:shd w:val="clear" w:color="auto" w:fill="auto"/>
          </w:tcPr>
          <w:p w14:paraId="69477220" w14:textId="77777777" w:rsidR="00CD29BD" w:rsidRPr="004870C7" w:rsidRDefault="00CD29BD" w:rsidP="003B2A79">
            <w:pPr>
              <w:rPr>
                <w:szCs w:val="22"/>
              </w:rPr>
            </w:pPr>
          </w:p>
        </w:tc>
        <w:tc>
          <w:tcPr>
            <w:tcW w:w="362" w:type="dxa"/>
            <w:shd w:val="clear" w:color="auto" w:fill="auto"/>
          </w:tcPr>
          <w:p w14:paraId="74F231EE" w14:textId="77777777" w:rsidR="00CD29BD" w:rsidRPr="004870C7" w:rsidRDefault="00CD29BD" w:rsidP="003B2A79">
            <w:pPr>
              <w:rPr>
                <w:szCs w:val="22"/>
              </w:rPr>
            </w:pPr>
          </w:p>
        </w:tc>
        <w:tc>
          <w:tcPr>
            <w:tcW w:w="362" w:type="dxa"/>
            <w:shd w:val="clear" w:color="auto" w:fill="B4C6E7" w:themeFill="accent1" w:themeFillTint="66"/>
          </w:tcPr>
          <w:p w14:paraId="0A725E6B" w14:textId="77777777" w:rsidR="00CD29BD" w:rsidRPr="004870C7" w:rsidRDefault="00CD29BD" w:rsidP="003B2A79">
            <w:pPr>
              <w:rPr>
                <w:szCs w:val="22"/>
              </w:rPr>
            </w:pPr>
          </w:p>
        </w:tc>
        <w:tc>
          <w:tcPr>
            <w:tcW w:w="362" w:type="dxa"/>
            <w:shd w:val="clear" w:color="auto" w:fill="B4C6E7" w:themeFill="accent1" w:themeFillTint="66"/>
          </w:tcPr>
          <w:p w14:paraId="609CD229" w14:textId="77777777" w:rsidR="00CD29BD" w:rsidRPr="004870C7" w:rsidRDefault="00CD29BD" w:rsidP="003B2A79">
            <w:pPr>
              <w:rPr>
                <w:szCs w:val="22"/>
              </w:rPr>
            </w:pPr>
          </w:p>
        </w:tc>
        <w:tc>
          <w:tcPr>
            <w:tcW w:w="362" w:type="dxa"/>
            <w:shd w:val="clear" w:color="auto" w:fill="B4C6E7" w:themeFill="accent1" w:themeFillTint="66"/>
          </w:tcPr>
          <w:p w14:paraId="7B375DEF" w14:textId="77777777" w:rsidR="00CD29BD" w:rsidRPr="004870C7" w:rsidRDefault="00CD29BD" w:rsidP="003B2A79">
            <w:pPr>
              <w:rPr>
                <w:szCs w:val="22"/>
              </w:rPr>
            </w:pPr>
          </w:p>
        </w:tc>
        <w:tc>
          <w:tcPr>
            <w:tcW w:w="362" w:type="dxa"/>
            <w:shd w:val="clear" w:color="auto" w:fill="B4C6E7" w:themeFill="accent1" w:themeFillTint="66"/>
          </w:tcPr>
          <w:p w14:paraId="161BA15F" w14:textId="77777777" w:rsidR="00CD29BD" w:rsidRPr="004870C7" w:rsidRDefault="00CD29BD" w:rsidP="003B2A79">
            <w:pPr>
              <w:rPr>
                <w:szCs w:val="22"/>
              </w:rPr>
            </w:pPr>
          </w:p>
        </w:tc>
        <w:tc>
          <w:tcPr>
            <w:tcW w:w="362" w:type="dxa"/>
            <w:shd w:val="clear" w:color="auto" w:fill="B4C6E7" w:themeFill="accent1" w:themeFillTint="66"/>
          </w:tcPr>
          <w:p w14:paraId="3D0A839E" w14:textId="77777777" w:rsidR="00CD29BD" w:rsidRPr="004870C7" w:rsidRDefault="00CD29BD" w:rsidP="003B2A79">
            <w:pPr>
              <w:rPr>
                <w:szCs w:val="22"/>
              </w:rPr>
            </w:pPr>
          </w:p>
        </w:tc>
        <w:tc>
          <w:tcPr>
            <w:tcW w:w="362" w:type="dxa"/>
            <w:shd w:val="clear" w:color="auto" w:fill="B4C6E7" w:themeFill="accent1" w:themeFillTint="66"/>
          </w:tcPr>
          <w:p w14:paraId="57681086" w14:textId="77777777" w:rsidR="00CD29BD" w:rsidRPr="004870C7" w:rsidRDefault="00CD29BD" w:rsidP="003B2A79">
            <w:pPr>
              <w:rPr>
                <w:szCs w:val="22"/>
              </w:rPr>
            </w:pPr>
          </w:p>
        </w:tc>
        <w:tc>
          <w:tcPr>
            <w:tcW w:w="362" w:type="dxa"/>
            <w:shd w:val="clear" w:color="auto" w:fill="B4C6E7" w:themeFill="accent1" w:themeFillTint="66"/>
          </w:tcPr>
          <w:p w14:paraId="4E4ED380" w14:textId="77777777" w:rsidR="00CD29BD" w:rsidRPr="004870C7" w:rsidRDefault="00CD29BD" w:rsidP="003B2A79">
            <w:pPr>
              <w:rPr>
                <w:szCs w:val="22"/>
              </w:rPr>
            </w:pPr>
          </w:p>
        </w:tc>
        <w:tc>
          <w:tcPr>
            <w:tcW w:w="362" w:type="dxa"/>
            <w:shd w:val="clear" w:color="auto" w:fill="auto"/>
          </w:tcPr>
          <w:p w14:paraId="4114A1C7" w14:textId="77777777" w:rsidR="00CD29BD" w:rsidRPr="004870C7" w:rsidRDefault="00CD29BD" w:rsidP="003B2A79">
            <w:pPr>
              <w:rPr>
                <w:szCs w:val="22"/>
              </w:rPr>
            </w:pPr>
          </w:p>
        </w:tc>
        <w:tc>
          <w:tcPr>
            <w:tcW w:w="362" w:type="dxa"/>
            <w:shd w:val="clear" w:color="auto" w:fill="auto"/>
          </w:tcPr>
          <w:p w14:paraId="4F8F25AF" w14:textId="77777777" w:rsidR="00CD29BD" w:rsidRPr="004870C7" w:rsidRDefault="00CD29BD" w:rsidP="003B2A79">
            <w:pPr>
              <w:rPr>
                <w:szCs w:val="22"/>
              </w:rPr>
            </w:pPr>
          </w:p>
        </w:tc>
        <w:tc>
          <w:tcPr>
            <w:tcW w:w="362" w:type="dxa"/>
            <w:shd w:val="clear" w:color="auto" w:fill="auto"/>
          </w:tcPr>
          <w:p w14:paraId="41A594F9" w14:textId="77777777" w:rsidR="00CD29BD" w:rsidRPr="004870C7" w:rsidRDefault="00CD29BD" w:rsidP="003B2A79">
            <w:pPr>
              <w:rPr>
                <w:szCs w:val="22"/>
              </w:rPr>
            </w:pPr>
          </w:p>
        </w:tc>
        <w:tc>
          <w:tcPr>
            <w:tcW w:w="362" w:type="dxa"/>
            <w:shd w:val="clear" w:color="auto" w:fill="auto"/>
          </w:tcPr>
          <w:p w14:paraId="0850EB9A" w14:textId="77777777" w:rsidR="00CD29BD" w:rsidRPr="004870C7" w:rsidRDefault="00CD29BD" w:rsidP="003B2A79">
            <w:pPr>
              <w:rPr>
                <w:szCs w:val="22"/>
              </w:rPr>
            </w:pPr>
          </w:p>
        </w:tc>
        <w:tc>
          <w:tcPr>
            <w:tcW w:w="362" w:type="dxa"/>
            <w:shd w:val="clear" w:color="auto" w:fill="auto"/>
          </w:tcPr>
          <w:p w14:paraId="236B2FF0" w14:textId="77777777" w:rsidR="00CD29BD" w:rsidRPr="004870C7" w:rsidRDefault="00CD29BD" w:rsidP="003B2A79">
            <w:pPr>
              <w:rPr>
                <w:szCs w:val="22"/>
              </w:rPr>
            </w:pPr>
          </w:p>
        </w:tc>
        <w:tc>
          <w:tcPr>
            <w:tcW w:w="362" w:type="dxa"/>
            <w:shd w:val="clear" w:color="auto" w:fill="auto"/>
          </w:tcPr>
          <w:p w14:paraId="621ADE7B" w14:textId="77777777" w:rsidR="00CD29BD" w:rsidRPr="004870C7" w:rsidRDefault="00CD29BD" w:rsidP="003B2A79">
            <w:pPr>
              <w:rPr>
                <w:szCs w:val="22"/>
              </w:rPr>
            </w:pPr>
          </w:p>
        </w:tc>
        <w:tc>
          <w:tcPr>
            <w:tcW w:w="362" w:type="dxa"/>
            <w:shd w:val="clear" w:color="auto" w:fill="auto"/>
          </w:tcPr>
          <w:p w14:paraId="3BD5FBC9" w14:textId="77777777" w:rsidR="00CD29BD" w:rsidRPr="004870C7" w:rsidRDefault="00CD29BD" w:rsidP="003B2A79">
            <w:pPr>
              <w:rPr>
                <w:szCs w:val="22"/>
              </w:rPr>
            </w:pPr>
          </w:p>
        </w:tc>
        <w:tc>
          <w:tcPr>
            <w:tcW w:w="362" w:type="dxa"/>
            <w:shd w:val="clear" w:color="auto" w:fill="auto"/>
          </w:tcPr>
          <w:p w14:paraId="1B292577" w14:textId="77777777" w:rsidR="00CD29BD" w:rsidRPr="004870C7" w:rsidRDefault="00CD29BD" w:rsidP="003B2A79">
            <w:pPr>
              <w:rPr>
                <w:szCs w:val="22"/>
              </w:rPr>
            </w:pPr>
          </w:p>
        </w:tc>
        <w:tc>
          <w:tcPr>
            <w:tcW w:w="362" w:type="dxa"/>
            <w:shd w:val="clear" w:color="auto" w:fill="auto"/>
          </w:tcPr>
          <w:p w14:paraId="148EF8BC" w14:textId="77777777" w:rsidR="00CD29BD" w:rsidRPr="004870C7" w:rsidRDefault="00CD29BD" w:rsidP="003B2A79">
            <w:pPr>
              <w:rPr>
                <w:szCs w:val="22"/>
              </w:rPr>
            </w:pPr>
          </w:p>
        </w:tc>
        <w:tc>
          <w:tcPr>
            <w:tcW w:w="362" w:type="dxa"/>
            <w:shd w:val="clear" w:color="auto" w:fill="auto"/>
          </w:tcPr>
          <w:p w14:paraId="4BE9081B" w14:textId="77777777" w:rsidR="00CD29BD" w:rsidRPr="004870C7" w:rsidRDefault="00CD29BD" w:rsidP="003B2A79">
            <w:pPr>
              <w:rPr>
                <w:szCs w:val="22"/>
              </w:rPr>
            </w:pPr>
          </w:p>
        </w:tc>
      </w:tr>
      <w:tr w:rsidR="00CD29BD" w:rsidRPr="004870C7" w14:paraId="7DA0F09C" w14:textId="77777777" w:rsidTr="00D35B7F">
        <w:tc>
          <w:tcPr>
            <w:tcW w:w="809" w:type="dxa"/>
            <w:vMerge/>
          </w:tcPr>
          <w:p w14:paraId="242CD87C" w14:textId="77777777" w:rsidR="00CD29BD" w:rsidRPr="004870C7" w:rsidRDefault="00CD29BD" w:rsidP="003B2A79">
            <w:pPr>
              <w:rPr>
                <w:szCs w:val="22"/>
              </w:rPr>
            </w:pPr>
          </w:p>
        </w:tc>
        <w:tc>
          <w:tcPr>
            <w:tcW w:w="739" w:type="dxa"/>
            <w:vMerge/>
            <w:shd w:val="clear" w:color="auto" w:fill="auto"/>
            <w:vAlign w:val="center"/>
          </w:tcPr>
          <w:p w14:paraId="6779D713" w14:textId="77777777" w:rsidR="00CD29BD" w:rsidRPr="004870C7" w:rsidRDefault="00CD29BD" w:rsidP="00CE078C">
            <w:pPr>
              <w:jc w:val="center"/>
              <w:rPr>
                <w:szCs w:val="22"/>
              </w:rPr>
            </w:pPr>
          </w:p>
        </w:tc>
        <w:tc>
          <w:tcPr>
            <w:tcW w:w="634" w:type="dxa"/>
          </w:tcPr>
          <w:p w14:paraId="483CDF6D" w14:textId="1C07B20A" w:rsidR="00CD29BD" w:rsidRPr="004870C7" w:rsidRDefault="00CD29BD" w:rsidP="003B2A79">
            <w:pPr>
              <w:rPr>
                <w:szCs w:val="22"/>
              </w:rPr>
            </w:pPr>
            <w:r w:rsidRPr="004870C7">
              <w:rPr>
                <w:szCs w:val="22"/>
              </w:rPr>
              <w:t>4.1.3</w:t>
            </w:r>
          </w:p>
        </w:tc>
        <w:tc>
          <w:tcPr>
            <w:tcW w:w="362" w:type="dxa"/>
            <w:shd w:val="clear" w:color="auto" w:fill="auto"/>
          </w:tcPr>
          <w:p w14:paraId="6254252C" w14:textId="77777777" w:rsidR="00CD29BD" w:rsidRPr="004870C7" w:rsidRDefault="00CD29BD" w:rsidP="003B2A79">
            <w:pPr>
              <w:rPr>
                <w:szCs w:val="22"/>
              </w:rPr>
            </w:pPr>
          </w:p>
        </w:tc>
        <w:tc>
          <w:tcPr>
            <w:tcW w:w="362" w:type="dxa"/>
            <w:shd w:val="clear" w:color="auto" w:fill="auto"/>
          </w:tcPr>
          <w:p w14:paraId="5122FB40" w14:textId="77777777" w:rsidR="00CD29BD" w:rsidRPr="004870C7" w:rsidRDefault="00CD29BD" w:rsidP="003B2A79">
            <w:pPr>
              <w:rPr>
                <w:szCs w:val="22"/>
              </w:rPr>
            </w:pPr>
          </w:p>
        </w:tc>
        <w:tc>
          <w:tcPr>
            <w:tcW w:w="362" w:type="dxa"/>
            <w:shd w:val="clear" w:color="auto" w:fill="auto"/>
          </w:tcPr>
          <w:p w14:paraId="460DA02A" w14:textId="77777777" w:rsidR="00CD29BD" w:rsidRPr="004870C7" w:rsidRDefault="00CD29BD" w:rsidP="003B2A79">
            <w:pPr>
              <w:rPr>
                <w:szCs w:val="22"/>
              </w:rPr>
            </w:pPr>
          </w:p>
        </w:tc>
        <w:tc>
          <w:tcPr>
            <w:tcW w:w="362" w:type="dxa"/>
            <w:shd w:val="clear" w:color="auto" w:fill="B4C6E7" w:themeFill="accent1" w:themeFillTint="66"/>
          </w:tcPr>
          <w:p w14:paraId="13C643E7" w14:textId="77777777" w:rsidR="00CD29BD" w:rsidRPr="004870C7" w:rsidRDefault="00CD29BD" w:rsidP="003B2A79">
            <w:pPr>
              <w:rPr>
                <w:szCs w:val="22"/>
              </w:rPr>
            </w:pPr>
          </w:p>
        </w:tc>
        <w:tc>
          <w:tcPr>
            <w:tcW w:w="362" w:type="dxa"/>
            <w:shd w:val="clear" w:color="auto" w:fill="B4C6E7" w:themeFill="accent1" w:themeFillTint="66"/>
          </w:tcPr>
          <w:p w14:paraId="3827A3D3" w14:textId="77777777" w:rsidR="00CD29BD" w:rsidRPr="004870C7" w:rsidRDefault="00CD29BD" w:rsidP="003B2A79">
            <w:pPr>
              <w:rPr>
                <w:szCs w:val="22"/>
              </w:rPr>
            </w:pPr>
          </w:p>
        </w:tc>
        <w:tc>
          <w:tcPr>
            <w:tcW w:w="362" w:type="dxa"/>
            <w:shd w:val="clear" w:color="auto" w:fill="B4C6E7" w:themeFill="accent1" w:themeFillTint="66"/>
          </w:tcPr>
          <w:p w14:paraId="63C4A440" w14:textId="77777777" w:rsidR="00CD29BD" w:rsidRPr="004870C7" w:rsidRDefault="00CD29BD" w:rsidP="003B2A79">
            <w:pPr>
              <w:rPr>
                <w:szCs w:val="22"/>
              </w:rPr>
            </w:pPr>
          </w:p>
        </w:tc>
        <w:tc>
          <w:tcPr>
            <w:tcW w:w="362" w:type="dxa"/>
            <w:shd w:val="clear" w:color="auto" w:fill="B4C6E7" w:themeFill="accent1" w:themeFillTint="66"/>
          </w:tcPr>
          <w:p w14:paraId="09DE19D9" w14:textId="77777777" w:rsidR="00CD29BD" w:rsidRPr="004870C7" w:rsidRDefault="00CD29BD" w:rsidP="003B2A79">
            <w:pPr>
              <w:rPr>
                <w:szCs w:val="22"/>
              </w:rPr>
            </w:pPr>
          </w:p>
        </w:tc>
        <w:tc>
          <w:tcPr>
            <w:tcW w:w="362" w:type="dxa"/>
            <w:shd w:val="clear" w:color="auto" w:fill="B4C6E7" w:themeFill="accent1" w:themeFillTint="66"/>
          </w:tcPr>
          <w:p w14:paraId="28925135" w14:textId="77777777" w:rsidR="00CD29BD" w:rsidRPr="004870C7" w:rsidRDefault="00CD29BD" w:rsidP="003B2A79">
            <w:pPr>
              <w:rPr>
                <w:szCs w:val="22"/>
              </w:rPr>
            </w:pPr>
          </w:p>
        </w:tc>
        <w:tc>
          <w:tcPr>
            <w:tcW w:w="362" w:type="dxa"/>
            <w:shd w:val="clear" w:color="auto" w:fill="B4C6E7" w:themeFill="accent1" w:themeFillTint="66"/>
          </w:tcPr>
          <w:p w14:paraId="10421AA6" w14:textId="77777777" w:rsidR="00CD29BD" w:rsidRPr="004870C7" w:rsidRDefault="00CD29BD" w:rsidP="003B2A79">
            <w:pPr>
              <w:rPr>
                <w:szCs w:val="22"/>
              </w:rPr>
            </w:pPr>
          </w:p>
        </w:tc>
        <w:tc>
          <w:tcPr>
            <w:tcW w:w="362" w:type="dxa"/>
            <w:shd w:val="clear" w:color="auto" w:fill="B4C6E7" w:themeFill="accent1" w:themeFillTint="66"/>
          </w:tcPr>
          <w:p w14:paraId="53051537" w14:textId="77777777" w:rsidR="00CD29BD" w:rsidRPr="004870C7" w:rsidRDefault="00CD29BD" w:rsidP="003B2A79">
            <w:pPr>
              <w:rPr>
                <w:szCs w:val="22"/>
              </w:rPr>
            </w:pPr>
          </w:p>
        </w:tc>
        <w:tc>
          <w:tcPr>
            <w:tcW w:w="362" w:type="dxa"/>
            <w:shd w:val="clear" w:color="auto" w:fill="auto"/>
          </w:tcPr>
          <w:p w14:paraId="050BC0B1" w14:textId="77777777" w:rsidR="00CD29BD" w:rsidRPr="004870C7" w:rsidRDefault="00CD29BD" w:rsidP="003B2A79">
            <w:pPr>
              <w:rPr>
                <w:szCs w:val="22"/>
              </w:rPr>
            </w:pPr>
          </w:p>
        </w:tc>
        <w:tc>
          <w:tcPr>
            <w:tcW w:w="362" w:type="dxa"/>
            <w:shd w:val="clear" w:color="auto" w:fill="auto"/>
          </w:tcPr>
          <w:p w14:paraId="2EEBF462" w14:textId="77777777" w:rsidR="00CD29BD" w:rsidRPr="004870C7" w:rsidRDefault="00CD29BD" w:rsidP="003B2A79">
            <w:pPr>
              <w:rPr>
                <w:szCs w:val="22"/>
              </w:rPr>
            </w:pPr>
          </w:p>
        </w:tc>
        <w:tc>
          <w:tcPr>
            <w:tcW w:w="362" w:type="dxa"/>
            <w:shd w:val="clear" w:color="auto" w:fill="auto"/>
          </w:tcPr>
          <w:p w14:paraId="2D0B2247" w14:textId="77777777" w:rsidR="00CD29BD" w:rsidRPr="004870C7" w:rsidRDefault="00CD29BD" w:rsidP="003B2A79">
            <w:pPr>
              <w:rPr>
                <w:szCs w:val="22"/>
              </w:rPr>
            </w:pPr>
          </w:p>
        </w:tc>
        <w:tc>
          <w:tcPr>
            <w:tcW w:w="362" w:type="dxa"/>
            <w:shd w:val="clear" w:color="auto" w:fill="auto"/>
          </w:tcPr>
          <w:p w14:paraId="1F2ECCFF" w14:textId="77777777" w:rsidR="00CD29BD" w:rsidRPr="004870C7" w:rsidRDefault="00CD29BD" w:rsidP="003B2A79">
            <w:pPr>
              <w:rPr>
                <w:szCs w:val="22"/>
              </w:rPr>
            </w:pPr>
          </w:p>
        </w:tc>
        <w:tc>
          <w:tcPr>
            <w:tcW w:w="362" w:type="dxa"/>
            <w:shd w:val="clear" w:color="auto" w:fill="auto"/>
          </w:tcPr>
          <w:p w14:paraId="617B05E3" w14:textId="77777777" w:rsidR="00CD29BD" w:rsidRPr="004870C7" w:rsidRDefault="00CD29BD" w:rsidP="003B2A79">
            <w:pPr>
              <w:rPr>
                <w:szCs w:val="22"/>
              </w:rPr>
            </w:pPr>
          </w:p>
        </w:tc>
        <w:tc>
          <w:tcPr>
            <w:tcW w:w="362" w:type="dxa"/>
            <w:shd w:val="clear" w:color="auto" w:fill="auto"/>
          </w:tcPr>
          <w:p w14:paraId="479DB898" w14:textId="77777777" w:rsidR="00CD29BD" w:rsidRPr="004870C7" w:rsidRDefault="00CD29BD" w:rsidP="003B2A79">
            <w:pPr>
              <w:rPr>
                <w:szCs w:val="22"/>
              </w:rPr>
            </w:pPr>
          </w:p>
        </w:tc>
        <w:tc>
          <w:tcPr>
            <w:tcW w:w="362" w:type="dxa"/>
            <w:shd w:val="clear" w:color="auto" w:fill="auto"/>
          </w:tcPr>
          <w:p w14:paraId="08BF84FA" w14:textId="77777777" w:rsidR="00CD29BD" w:rsidRPr="004870C7" w:rsidRDefault="00CD29BD" w:rsidP="003B2A79">
            <w:pPr>
              <w:rPr>
                <w:szCs w:val="22"/>
              </w:rPr>
            </w:pPr>
          </w:p>
        </w:tc>
        <w:tc>
          <w:tcPr>
            <w:tcW w:w="362" w:type="dxa"/>
            <w:shd w:val="clear" w:color="auto" w:fill="auto"/>
          </w:tcPr>
          <w:p w14:paraId="365D118F" w14:textId="77777777" w:rsidR="00CD29BD" w:rsidRPr="004870C7" w:rsidRDefault="00CD29BD" w:rsidP="003B2A79">
            <w:pPr>
              <w:rPr>
                <w:szCs w:val="22"/>
              </w:rPr>
            </w:pPr>
          </w:p>
        </w:tc>
        <w:tc>
          <w:tcPr>
            <w:tcW w:w="362" w:type="dxa"/>
            <w:shd w:val="clear" w:color="auto" w:fill="auto"/>
          </w:tcPr>
          <w:p w14:paraId="2B777145" w14:textId="77777777" w:rsidR="00CD29BD" w:rsidRPr="004870C7" w:rsidRDefault="00CD29BD" w:rsidP="003B2A79">
            <w:pPr>
              <w:rPr>
                <w:szCs w:val="22"/>
              </w:rPr>
            </w:pPr>
          </w:p>
        </w:tc>
        <w:tc>
          <w:tcPr>
            <w:tcW w:w="362" w:type="dxa"/>
            <w:shd w:val="clear" w:color="auto" w:fill="auto"/>
          </w:tcPr>
          <w:p w14:paraId="20412123" w14:textId="77777777" w:rsidR="00CD29BD" w:rsidRPr="004870C7" w:rsidRDefault="00CD29BD" w:rsidP="003B2A79">
            <w:pPr>
              <w:rPr>
                <w:szCs w:val="22"/>
              </w:rPr>
            </w:pPr>
          </w:p>
        </w:tc>
      </w:tr>
      <w:tr w:rsidR="00CD29BD" w:rsidRPr="004870C7" w14:paraId="6A8E411A" w14:textId="77777777" w:rsidTr="00D35B7F">
        <w:tc>
          <w:tcPr>
            <w:tcW w:w="809" w:type="dxa"/>
            <w:vMerge/>
          </w:tcPr>
          <w:p w14:paraId="456FDC7C" w14:textId="77777777" w:rsidR="00CD29BD" w:rsidRPr="004870C7" w:rsidRDefault="00CD29BD" w:rsidP="003B2A79">
            <w:pPr>
              <w:rPr>
                <w:szCs w:val="22"/>
              </w:rPr>
            </w:pPr>
          </w:p>
        </w:tc>
        <w:tc>
          <w:tcPr>
            <w:tcW w:w="739" w:type="dxa"/>
            <w:vMerge/>
            <w:shd w:val="clear" w:color="auto" w:fill="auto"/>
            <w:vAlign w:val="center"/>
          </w:tcPr>
          <w:p w14:paraId="6F6A483A" w14:textId="77777777" w:rsidR="00CD29BD" w:rsidRPr="004870C7" w:rsidRDefault="00CD29BD" w:rsidP="00CE078C">
            <w:pPr>
              <w:jc w:val="center"/>
              <w:rPr>
                <w:szCs w:val="22"/>
              </w:rPr>
            </w:pPr>
          </w:p>
        </w:tc>
        <w:tc>
          <w:tcPr>
            <w:tcW w:w="634" w:type="dxa"/>
          </w:tcPr>
          <w:p w14:paraId="5B61C856" w14:textId="0BE447D1" w:rsidR="00CD29BD" w:rsidRPr="004870C7" w:rsidRDefault="00CD29BD" w:rsidP="003B2A79">
            <w:pPr>
              <w:rPr>
                <w:szCs w:val="22"/>
              </w:rPr>
            </w:pPr>
            <w:r w:rsidRPr="004870C7">
              <w:rPr>
                <w:szCs w:val="22"/>
              </w:rPr>
              <w:t>4.1.4</w:t>
            </w:r>
          </w:p>
        </w:tc>
        <w:tc>
          <w:tcPr>
            <w:tcW w:w="362" w:type="dxa"/>
            <w:shd w:val="clear" w:color="auto" w:fill="auto"/>
          </w:tcPr>
          <w:p w14:paraId="514F8167" w14:textId="77777777" w:rsidR="00CD29BD" w:rsidRPr="004870C7" w:rsidRDefault="00CD29BD" w:rsidP="003B2A79">
            <w:pPr>
              <w:rPr>
                <w:szCs w:val="22"/>
              </w:rPr>
            </w:pPr>
          </w:p>
        </w:tc>
        <w:tc>
          <w:tcPr>
            <w:tcW w:w="362" w:type="dxa"/>
            <w:shd w:val="clear" w:color="auto" w:fill="auto"/>
          </w:tcPr>
          <w:p w14:paraId="7224376A" w14:textId="77777777" w:rsidR="00CD29BD" w:rsidRPr="004870C7" w:rsidRDefault="00CD29BD" w:rsidP="003B2A79">
            <w:pPr>
              <w:rPr>
                <w:szCs w:val="22"/>
              </w:rPr>
            </w:pPr>
          </w:p>
        </w:tc>
        <w:tc>
          <w:tcPr>
            <w:tcW w:w="362" w:type="dxa"/>
            <w:shd w:val="clear" w:color="auto" w:fill="auto"/>
          </w:tcPr>
          <w:p w14:paraId="726EC608" w14:textId="77777777" w:rsidR="00CD29BD" w:rsidRPr="004870C7" w:rsidRDefault="00CD29BD" w:rsidP="003B2A79">
            <w:pPr>
              <w:rPr>
                <w:szCs w:val="22"/>
              </w:rPr>
            </w:pPr>
          </w:p>
        </w:tc>
        <w:tc>
          <w:tcPr>
            <w:tcW w:w="362" w:type="dxa"/>
            <w:shd w:val="clear" w:color="auto" w:fill="B4C6E7" w:themeFill="accent1" w:themeFillTint="66"/>
          </w:tcPr>
          <w:p w14:paraId="1EB009BC" w14:textId="77777777" w:rsidR="00CD29BD" w:rsidRPr="004870C7" w:rsidRDefault="00CD29BD" w:rsidP="003B2A79">
            <w:pPr>
              <w:rPr>
                <w:szCs w:val="22"/>
              </w:rPr>
            </w:pPr>
          </w:p>
        </w:tc>
        <w:tc>
          <w:tcPr>
            <w:tcW w:w="362" w:type="dxa"/>
            <w:shd w:val="clear" w:color="auto" w:fill="B4C6E7" w:themeFill="accent1" w:themeFillTint="66"/>
          </w:tcPr>
          <w:p w14:paraId="62722944" w14:textId="77777777" w:rsidR="00CD29BD" w:rsidRPr="004870C7" w:rsidRDefault="00CD29BD" w:rsidP="003B2A79">
            <w:pPr>
              <w:rPr>
                <w:szCs w:val="22"/>
              </w:rPr>
            </w:pPr>
          </w:p>
        </w:tc>
        <w:tc>
          <w:tcPr>
            <w:tcW w:w="362" w:type="dxa"/>
            <w:shd w:val="clear" w:color="auto" w:fill="B4C6E7" w:themeFill="accent1" w:themeFillTint="66"/>
          </w:tcPr>
          <w:p w14:paraId="50A609D7" w14:textId="77777777" w:rsidR="00CD29BD" w:rsidRPr="004870C7" w:rsidRDefault="00CD29BD" w:rsidP="003B2A79">
            <w:pPr>
              <w:rPr>
                <w:szCs w:val="22"/>
              </w:rPr>
            </w:pPr>
          </w:p>
        </w:tc>
        <w:tc>
          <w:tcPr>
            <w:tcW w:w="362" w:type="dxa"/>
            <w:shd w:val="clear" w:color="auto" w:fill="B4C6E7" w:themeFill="accent1" w:themeFillTint="66"/>
          </w:tcPr>
          <w:p w14:paraId="0CD46BC7" w14:textId="77777777" w:rsidR="00CD29BD" w:rsidRPr="004870C7" w:rsidRDefault="00CD29BD" w:rsidP="003B2A79">
            <w:pPr>
              <w:rPr>
                <w:szCs w:val="22"/>
              </w:rPr>
            </w:pPr>
          </w:p>
        </w:tc>
        <w:tc>
          <w:tcPr>
            <w:tcW w:w="362" w:type="dxa"/>
            <w:shd w:val="clear" w:color="auto" w:fill="B4C6E7" w:themeFill="accent1" w:themeFillTint="66"/>
          </w:tcPr>
          <w:p w14:paraId="4C376FA2" w14:textId="77777777" w:rsidR="00CD29BD" w:rsidRPr="004870C7" w:rsidRDefault="00CD29BD" w:rsidP="003B2A79">
            <w:pPr>
              <w:rPr>
                <w:szCs w:val="22"/>
              </w:rPr>
            </w:pPr>
          </w:p>
        </w:tc>
        <w:tc>
          <w:tcPr>
            <w:tcW w:w="362" w:type="dxa"/>
            <w:shd w:val="clear" w:color="auto" w:fill="B4C6E7" w:themeFill="accent1" w:themeFillTint="66"/>
          </w:tcPr>
          <w:p w14:paraId="05C2787D" w14:textId="77777777" w:rsidR="00CD29BD" w:rsidRPr="004870C7" w:rsidRDefault="00CD29BD" w:rsidP="003B2A79">
            <w:pPr>
              <w:rPr>
                <w:szCs w:val="22"/>
              </w:rPr>
            </w:pPr>
          </w:p>
        </w:tc>
        <w:tc>
          <w:tcPr>
            <w:tcW w:w="362" w:type="dxa"/>
            <w:shd w:val="clear" w:color="auto" w:fill="B4C6E7" w:themeFill="accent1" w:themeFillTint="66"/>
          </w:tcPr>
          <w:p w14:paraId="109516B3" w14:textId="77777777" w:rsidR="00CD29BD" w:rsidRPr="004870C7" w:rsidRDefault="00CD29BD" w:rsidP="003B2A79">
            <w:pPr>
              <w:rPr>
                <w:szCs w:val="22"/>
              </w:rPr>
            </w:pPr>
          </w:p>
        </w:tc>
        <w:tc>
          <w:tcPr>
            <w:tcW w:w="362" w:type="dxa"/>
            <w:shd w:val="clear" w:color="auto" w:fill="auto"/>
          </w:tcPr>
          <w:p w14:paraId="429488D9" w14:textId="77777777" w:rsidR="00CD29BD" w:rsidRPr="004870C7" w:rsidRDefault="00CD29BD" w:rsidP="003B2A79">
            <w:pPr>
              <w:rPr>
                <w:szCs w:val="22"/>
              </w:rPr>
            </w:pPr>
          </w:p>
        </w:tc>
        <w:tc>
          <w:tcPr>
            <w:tcW w:w="362" w:type="dxa"/>
            <w:shd w:val="clear" w:color="auto" w:fill="auto"/>
          </w:tcPr>
          <w:p w14:paraId="5752D308" w14:textId="77777777" w:rsidR="00CD29BD" w:rsidRPr="004870C7" w:rsidRDefault="00CD29BD" w:rsidP="003B2A79">
            <w:pPr>
              <w:rPr>
                <w:szCs w:val="22"/>
              </w:rPr>
            </w:pPr>
          </w:p>
        </w:tc>
        <w:tc>
          <w:tcPr>
            <w:tcW w:w="362" w:type="dxa"/>
            <w:shd w:val="clear" w:color="auto" w:fill="auto"/>
          </w:tcPr>
          <w:p w14:paraId="1F76D0D2" w14:textId="77777777" w:rsidR="00CD29BD" w:rsidRPr="004870C7" w:rsidRDefault="00CD29BD" w:rsidP="003B2A79">
            <w:pPr>
              <w:rPr>
                <w:szCs w:val="22"/>
              </w:rPr>
            </w:pPr>
          </w:p>
        </w:tc>
        <w:tc>
          <w:tcPr>
            <w:tcW w:w="362" w:type="dxa"/>
            <w:shd w:val="clear" w:color="auto" w:fill="auto"/>
          </w:tcPr>
          <w:p w14:paraId="2C35C5E2" w14:textId="77777777" w:rsidR="00CD29BD" w:rsidRPr="004870C7" w:rsidRDefault="00CD29BD" w:rsidP="003B2A79">
            <w:pPr>
              <w:rPr>
                <w:szCs w:val="22"/>
              </w:rPr>
            </w:pPr>
          </w:p>
        </w:tc>
        <w:tc>
          <w:tcPr>
            <w:tcW w:w="362" w:type="dxa"/>
            <w:shd w:val="clear" w:color="auto" w:fill="auto"/>
          </w:tcPr>
          <w:p w14:paraId="25F52E6B" w14:textId="77777777" w:rsidR="00CD29BD" w:rsidRPr="004870C7" w:rsidRDefault="00CD29BD" w:rsidP="003B2A79">
            <w:pPr>
              <w:rPr>
                <w:szCs w:val="22"/>
              </w:rPr>
            </w:pPr>
          </w:p>
        </w:tc>
        <w:tc>
          <w:tcPr>
            <w:tcW w:w="362" w:type="dxa"/>
            <w:shd w:val="clear" w:color="auto" w:fill="auto"/>
          </w:tcPr>
          <w:p w14:paraId="4A028501" w14:textId="77777777" w:rsidR="00CD29BD" w:rsidRPr="004870C7" w:rsidRDefault="00CD29BD" w:rsidP="003B2A79">
            <w:pPr>
              <w:rPr>
                <w:szCs w:val="22"/>
              </w:rPr>
            </w:pPr>
          </w:p>
        </w:tc>
        <w:tc>
          <w:tcPr>
            <w:tcW w:w="362" w:type="dxa"/>
            <w:shd w:val="clear" w:color="auto" w:fill="auto"/>
          </w:tcPr>
          <w:p w14:paraId="5DB551CD" w14:textId="77777777" w:rsidR="00CD29BD" w:rsidRPr="004870C7" w:rsidRDefault="00CD29BD" w:rsidP="003B2A79">
            <w:pPr>
              <w:rPr>
                <w:szCs w:val="22"/>
              </w:rPr>
            </w:pPr>
          </w:p>
        </w:tc>
        <w:tc>
          <w:tcPr>
            <w:tcW w:w="362" w:type="dxa"/>
            <w:shd w:val="clear" w:color="auto" w:fill="auto"/>
          </w:tcPr>
          <w:p w14:paraId="10100888" w14:textId="77777777" w:rsidR="00CD29BD" w:rsidRPr="004870C7" w:rsidRDefault="00CD29BD" w:rsidP="003B2A79">
            <w:pPr>
              <w:rPr>
                <w:szCs w:val="22"/>
              </w:rPr>
            </w:pPr>
          </w:p>
        </w:tc>
        <w:tc>
          <w:tcPr>
            <w:tcW w:w="362" w:type="dxa"/>
            <w:shd w:val="clear" w:color="auto" w:fill="auto"/>
          </w:tcPr>
          <w:p w14:paraId="522401D4" w14:textId="77777777" w:rsidR="00CD29BD" w:rsidRPr="004870C7" w:rsidRDefault="00CD29BD" w:rsidP="003B2A79">
            <w:pPr>
              <w:rPr>
                <w:szCs w:val="22"/>
              </w:rPr>
            </w:pPr>
          </w:p>
        </w:tc>
        <w:tc>
          <w:tcPr>
            <w:tcW w:w="362" w:type="dxa"/>
            <w:shd w:val="clear" w:color="auto" w:fill="auto"/>
          </w:tcPr>
          <w:p w14:paraId="4A66F33D" w14:textId="77777777" w:rsidR="00CD29BD" w:rsidRPr="004870C7" w:rsidRDefault="00CD29BD" w:rsidP="003B2A79">
            <w:pPr>
              <w:rPr>
                <w:szCs w:val="22"/>
              </w:rPr>
            </w:pPr>
          </w:p>
        </w:tc>
      </w:tr>
      <w:tr w:rsidR="00CD29BD" w:rsidRPr="004870C7" w14:paraId="6595C27C" w14:textId="77777777" w:rsidTr="00D35B7F">
        <w:tc>
          <w:tcPr>
            <w:tcW w:w="809" w:type="dxa"/>
            <w:vMerge w:val="restart"/>
          </w:tcPr>
          <w:p w14:paraId="456BF51E" w14:textId="77777777" w:rsidR="00CD29BD" w:rsidRPr="004870C7" w:rsidRDefault="00CD29BD" w:rsidP="003B2A79">
            <w:pPr>
              <w:rPr>
                <w:szCs w:val="22"/>
              </w:rPr>
            </w:pPr>
          </w:p>
        </w:tc>
        <w:tc>
          <w:tcPr>
            <w:tcW w:w="739" w:type="dxa"/>
            <w:vMerge w:val="restart"/>
            <w:shd w:val="clear" w:color="auto" w:fill="auto"/>
            <w:vAlign w:val="center"/>
          </w:tcPr>
          <w:p w14:paraId="59A76713" w14:textId="77777777" w:rsidR="00CD29BD" w:rsidRPr="004870C7" w:rsidRDefault="00CD29BD" w:rsidP="00CE078C">
            <w:pPr>
              <w:jc w:val="center"/>
              <w:rPr>
                <w:szCs w:val="22"/>
              </w:rPr>
            </w:pPr>
          </w:p>
        </w:tc>
        <w:tc>
          <w:tcPr>
            <w:tcW w:w="634" w:type="dxa"/>
          </w:tcPr>
          <w:p w14:paraId="062A2251" w14:textId="38467719" w:rsidR="00CD29BD" w:rsidRPr="004870C7" w:rsidRDefault="00CD29BD" w:rsidP="003B2A79">
            <w:pPr>
              <w:rPr>
                <w:szCs w:val="22"/>
              </w:rPr>
            </w:pPr>
            <w:r w:rsidRPr="004870C7">
              <w:rPr>
                <w:szCs w:val="22"/>
              </w:rPr>
              <w:t>4.1.5</w:t>
            </w:r>
          </w:p>
        </w:tc>
        <w:tc>
          <w:tcPr>
            <w:tcW w:w="362" w:type="dxa"/>
            <w:shd w:val="clear" w:color="auto" w:fill="auto"/>
          </w:tcPr>
          <w:p w14:paraId="19732BCF" w14:textId="77777777" w:rsidR="00CD29BD" w:rsidRPr="004870C7" w:rsidRDefault="00CD29BD" w:rsidP="003B2A79">
            <w:pPr>
              <w:rPr>
                <w:szCs w:val="22"/>
              </w:rPr>
            </w:pPr>
          </w:p>
        </w:tc>
        <w:tc>
          <w:tcPr>
            <w:tcW w:w="362" w:type="dxa"/>
            <w:shd w:val="clear" w:color="auto" w:fill="auto"/>
          </w:tcPr>
          <w:p w14:paraId="72646862" w14:textId="77777777" w:rsidR="00CD29BD" w:rsidRPr="004870C7" w:rsidRDefault="00CD29BD" w:rsidP="003B2A79">
            <w:pPr>
              <w:rPr>
                <w:szCs w:val="22"/>
              </w:rPr>
            </w:pPr>
          </w:p>
        </w:tc>
        <w:tc>
          <w:tcPr>
            <w:tcW w:w="362" w:type="dxa"/>
            <w:shd w:val="clear" w:color="auto" w:fill="auto"/>
          </w:tcPr>
          <w:p w14:paraId="11055CAF" w14:textId="77777777" w:rsidR="00CD29BD" w:rsidRPr="004870C7" w:rsidRDefault="00CD29BD" w:rsidP="003B2A79">
            <w:pPr>
              <w:rPr>
                <w:szCs w:val="22"/>
              </w:rPr>
            </w:pPr>
          </w:p>
        </w:tc>
        <w:tc>
          <w:tcPr>
            <w:tcW w:w="362" w:type="dxa"/>
            <w:shd w:val="clear" w:color="auto" w:fill="B4C6E7" w:themeFill="accent1" w:themeFillTint="66"/>
          </w:tcPr>
          <w:p w14:paraId="15C15A67" w14:textId="77777777" w:rsidR="00CD29BD" w:rsidRPr="004870C7" w:rsidRDefault="00CD29BD" w:rsidP="003B2A79">
            <w:pPr>
              <w:rPr>
                <w:szCs w:val="22"/>
              </w:rPr>
            </w:pPr>
          </w:p>
        </w:tc>
        <w:tc>
          <w:tcPr>
            <w:tcW w:w="362" w:type="dxa"/>
            <w:shd w:val="clear" w:color="auto" w:fill="B4C6E7" w:themeFill="accent1" w:themeFillTint="66"/>
          </w:tcPr>
          <w:p w14:paraId="35B5D711" w14:textId="77777777" w:rsidR="00CD29BD" w:rsidRPr="004870C7" w:rsidRDefault="00CD29BD" w:rsidP="003B2A79">
            <w:pPr>
              <w:rPr>
                <w:szCs w:val="22"/>
              </w:rPr>
            </w:pPr>
          </w:p>
        </w:tc>
        <w:tc>
          <w:tcPr>
            <w:tcW w:w="362" w:type="dxa"/>
            <w:shd w:val="clear" w:color="auto" w:fill="B4C6E7" w:themeFill="accent1" w:themeFillTint="66"/>
          </w:tcPr>
          <w:p w14:paraId="1C08831E" w14:textId="77777777" w:rsidR="00CD29BD" w:rsidRPr="004870C7" w:rsidRDefault="00CD29BD" w:rsidP="003B2A79">
            <w:pPr>
              <w:rPr>
                <w:szCs w:val="22"/>
              </w:rPr>
            </w:pPr>
          </w:p>
        </w:tc>
        <w:tc>
          <w:tcPr>
            <w:tcW w:w="362" w:type="dxa"/>
            <w:shd w:val="clear" w:color="auto" w:fill="B4C6E7" w:themeFill="accent1" w:themeFillTint="66"/>
          </w:tcPr>
          <w:p w14:paraId="0D9AC482" w14:textId="77777777" w:rsidR="00CD29BD" w:rsidRPr="004870C7" w:rsidRDefault="00CD29BD" w:rsidP="003B2A79">
            <w:pPr>
              <w:rPr>
                <w:szCs w:val="22"/>
              </w:rPr>
            </w:pPr>
          </w:p>
        </w:tc>
        <w:tc>
          <w:tcPr>
            <w:tcW w:w="362" w:type="dxa"/>
            <w:shd w:val="clear" w:color="auto" w:fill="B4C6E7" w:themeFill="accent1" w:themeFillTint="66"/>
          </w:tcPr>
          <w:p w14:paraId="057161F5" w14:textId="77777777" w:rsidR="00CD29BD" w:rsidRPr="004870C7" w:rsidRDefault="00CD29BD" w:rsidP="003B2A79">
            <w:pPr>
              <w:rPr>
                <w:szCs w:val="22"/>
              </w:rPr>
            </w:pPr>
          </w:p>
        </w:tc>
        <w:tc>
          <w:tcPr>
            <w:tcW w:w="362" w:type="dxa"/>
            <w:shd w:val="clear" w:color="auto" w:fill="B4C6E7" w:themeFill="accent1" w:themeFillTint="66"/>
          </w:tcPr>
          <w:p w14:paraId="69C7A65A" w14:textId="77777777" w:rsidR="00CD29BD" w:rsidRPr="004870C7" w:rsidRDefault="00CD29BD" w:rsidP="003B2A79">
            <w:pPr>
              <w:rPr>
                <w:szCs w:val="22"/>
              </w:rPr>
            </w:pPr>
          </w:p>
        </w:tc>
        <w:tc>
          <w:tcPr>
            <w:tcW w:w="362" w:type="dxa"/>
            <w:shd w:val="clear" w:color="auto" w:fill="B4C6E7" w:themeFill="accent1" w:themeFillTint="66"/>
          </w:tcPr>
          <w:p w14:paraId="2B45CD4C" w14:textId="77777777" w:rsidR="00CD29BD" w:rsidRPr="004870C7" w:rsidRDefault="00CD29BD" w:rsidP="003B2A79">
            <w:pPr>
              <w:rPr>
                <w:szCs w:val="22"/>
              </w:rPr>
            </w:pPr>
          </w:p>
        </w:tc>
        <w:tc>
          <w:tcPr>
            <w:tcW w:w="362" w:type="dxa"/>
            <w:shd w:val="clear" w:color="auto" w:fill="auto"/>
          </w:tcPr>
          <w:p w14:paraId="2FE1A717" w14:textId="77777777" w:rsidR="00CD29BD" w:rsidRPr="004870C7" w:rsidRDefault="00CD29BD" w:rsidP="003B2A79">
            <w:pPr>
              <w:rPr>
                <w:szCs w:val="22"/>
              </w:rPr>
            </w:pPr>
          </w:p>
        </w:tc>
        <w:tc>
          <w:tcPr>
            <w:tcW w:w="362" w:type="dxa"/>
            <w:shd w:val="clear" w:color="auto" w:fill="auto"/>
          </w:tcPr>
          <w:p w14:paraId="7ED3E5F5" w14:textId="77777777" w:rsidR="00CD29BD" w:rsidRPr="004870C7" w:rsidRDefault="00CD29BD" w:rsidP="003B2A79">
            <w:pPr>
              <w:rPr>
                <w:szCs w:val="22"/>
              </w:rPr>
            </w:pPr>
          </w:p>
        </w:tc>
        <w:tc>
          <w:tcPr>
            <w:tcW w:w="362" w:type="dxa"/>
            <w:shd w:val="clear" w:color="auto" w:fill="auto"/>
          </w:tcPr>
          <w:p w14:paraId="2229E895" w14:textId="77777777" w:rsidR="00CD29BD" w:rsidRPr="004870C7" w:rsidRDefault="00CD29BD" w:rsidP="003B2A79">
            <w:pPr>
              <w:rPr>
                <w:szCs w:val="22"/>
              </w:rPr>
            </w:pPr>
          </w:p>
        </w:tc>
        <w:tc>
          <w:tcPr>
            <w:tcW w:w="362" w:type="dxa"/>
            <w:shd w:val="clear" w:color="auto" w:fill="auto"/>
          </w:tcPr>
          <w:p w14:paraId="3CCC6A48" w14:textId="77777777" w:rsidR="00CD29BD" w:rsidRPr="004870C7" w:rsidRDefault="00CD29BD" w:rsidP="003B2A79">
            <w:pPr>
              <w:rPr>
                <w:szCs w:val="22"/>
              </w:rPr>
            </w:pPr>
          </w:p>
        </w:tc>
        <w:tc>
          <w:tcPr>
            <w:tcW w:w="362" w:type="dxa"/>
            <w:shd w:val="clear" w:color="auto" w:fill="auto"/>
          </w:tcPr>
          <w:p w14:paraId="091610F2" w14:textId="77777777" w:rsidR="00CD29BD" w:rsidRPr="004870C7" w:rsidRDefault="00CD29BD" w:rsidP="003B2A79">
            <w:pPr>
              <w:rPr>
                <w:szCs w:val="22"/>
              </w:rPr>
            </w:pPr>
          </w:p>
        </w:tc>
        <w:tc>
          <w:tcPr>
            <w:tcW w:w="362" w:type="dxa"/>
            <w:shd w:val="clear" w:color="auto" w:fill="auto"/>
          </w:tcPr>
          <w:p w14:paraId="2E94BDA7" w14:textId="77777777" w:rsidR="00CD29BD" w:rsidRPr="004870C7" w:rsidRDefault="00CD29BD" w:rsidP="003B2A79">
            <w:pPr>
              <w:rPr>
                <w:szCs w:val="22"/>
              </w:rPr>
            </w:pPr>
          </w:p>
        </w:tc>
        <w:tc>
          <w:tcPr>
            <w:tcW w:w="362" w:type="dxa"/>
            <w:shd w:val="clear" w:color="auto" w:fill="auto"/>
          </w:tcPr>
          <w:p w14:paraId="1B3C69D1" w14:textId="77777777" w:rsidR="00CD29BD" w:rsidRPr="004870C7" w:rsidRDefault="00CD29BD" w:rsidP="003B2A79">
            <w:pPr>
              <w:rPr>
                <w:szCs w:val="22"/>
              </w:rPr>
            </w:pPr>
          </w:p>
        </w:tc>
        <w:tc>
          <w:tcPr>
            <w:tcW w:w="362" w:type="dxa"/>
            <w:shd w:val="clear" w:color="auto" w:fill="auto"/>
          </w:tcPr>
          <w:p w14:paraId="77B4289A" w14:textId="77777777" w:rsidR="00CD29BD" w:rsidRPr="004870C7" w:rsidRDefault="00CD29BD" w:rsidP="003B2A79">
            <w:pPr>
              <w:rPr>
                <w:szCs w:val="22"/>
              </w:rPr>
            </w:pPr>
          </w:p>
        </w:tc>
        <w:tc>
          <w:tcPr>
            <w:tcW w:w="362" w:type="dxa"/>
            <w:shd w:val="clear" w:color="auto" w:fill="auto"/>
          </w:tcPr>
          <w:p w14:paraId="55868631" w14:textId="77777777" w:rsidR="00CD29BD" w:rsidRPr="004870C7" w:rsidRDefault="00CD29BD" w:rsidP="003B2A79">
            <w:pPr>
              <w:rPr>
                <w:szCs w:val="22"/>
              </w:rPr>
            </w:pPr>
          </w:p>
        </w:tc>
        <w:tc>
          <w:tcPr>
            <w:tcW w:w="362" w:type="dxa"/>
            <w:shd w:val="clear" w:color="auto" w:fill="auto"/>
          </w:tcPr>
          <w:p w14:paraId="24D6F585" w14:textId="77777777" w:rsidR="00CD29BD" w:rsidRPr="004870C7" w:rsidRDefault="00CD29BD" w:rsidP="003B2A79">
            <w:pPr>
              <w:rPr>
                <w:szCs w:val="22"/>
              </w:rPr>
            </w:pPr>
          </w:p>
        </w:tc>
      </w:tr>
      <w:tr w:rsidR="00CD29BD" w:rsidRPr="004870C7" w14:paraId="1F37C5C8" w14:textId="77777777" w:rsidTr="00D35B7F">
        <w:tc>
          <w:tcPr>
            <w:tcW w:w="809" w:type="dxa"/>
            <w:vMerge/>
          </w:tcPr>
          <w:p w14:paraId="047833BD" w14:textId="77777777" w:rsidR="00CD29BD" w:rsidRPr="004870C7" w:rsidRDefault="00CD29BD" w:rsidP="003B2A79">
            <w:pPr>
              <w:rPr>
                <w:szCs w:val="22"/>
              </w:rPr>
            </w:pPr>
          </w:p>
        </w:tc>
        <w:tc>
          <w:tcPr>
            <w:tcW w:w="739" w:type="dxa"/>
            <w:vMerge/>
            <w:shd w:val="clear" w:color="auto" w:fill="auto"/>
            <w:vAlign w:val="center"/>
          </w:tcPr>
          <w:p w14:paraId="1265971B" w14:textId="77777777" w:rsidR="00CD29BD" w:rsidRPr="004870C7" w:rsidRDefault="00CD29BD" w:rsidP="00CE078C">
            <w:pPr>
              <w:jc w:val="center"/>
              <w:rPr>
                <w:szCs w:val="22"/>
              </w:rPr>
            </w:pPr>
          </w:p>
        </w:tc>
        <w:tc>
          <w:tcPr>
            <w:tcW w:w="634" w:type="dxa"/>
          </w:tcPr>
          <w:p w14:paraId="5E62982F" w14:textId="01A63D0A" w:rsidR="00CD29BD" w:rsidRPr="004870C7" w:rsidRDefault="00CD29BD" w:rsidP="003B2A79">
            <w:pPr>
              <w:rPr>
                <w:szCs w:val="22"/>
              </w:rPr>
            </w:pPr>
            <w:r w:rsidRPr="004870C7">
              <w:rPr>
                <w:szCs w:val="22"/>
              </w:rPr>
              <w:t>4.1.6</w:t>
            </w:r>
          </w:p>
        </w:tc>
        <w:tc>
          <w:tcPr>
            <w:tcW w:w="362" w:type="dxa"/>
            <w:shd w:val="clear" w:color="auto" w:fill="auto"/>
          </w:tcPr>
          <w:p w14:paraId="077537D1" w14:textId="77777777" w:rsidR="00CD29BD" w:rsidRPr="004870C7" w:rsidRDefault="00CD29BD" w:rsidP="003B2A79">
            <w:pPr>
              <w:rPr>
                <w:szCs w:val="22"/>
              </w:rPr>
            </w:pPr>
          </w:p>
        </w:tc>
        <w:tc>
          <w:tcPr>
            <w:tcW w:w="362" w:type="dxa"/>
            <w:shd w:val="clear" w:color="auto" w:fill="auto"/>
          </w:tcPr>
          <w:p w14:paraId="36EB0041" w14:textId="77777777" w:rsidR="00CD29BD" w:rsidRPr="004870C7" w:rsidRDefault="00CD29BD" w:rsidP="003B2A79">
            <w:pPr>
              <w:rPr>
                <w:szCs w:val="22"/>
              </w:rPr>
            </w:pPr>
          </w:p>
        </w:tc>
        <w:tc>
          <w:tcPr>
            <w:tcW w:w="362" w:type="dxa"/>
            <w:shd w:val="clear" w:color="auto" w:fill="auto"/>
          </w:tcPr>
          <w:p w14:paraId="70758159" w14:textId="77777777" w:rsidR="00CD29BD" w:rsidRPr="004870C7" w:rsidRDefault="00CD29BD" w:rsidP="003B2A79">
            <w:pPr>
              <w:rPr>
                <w:szCs w:val="22"/>
              </w:rPr>
            </w:pPr>
          </w:p>
        </w:tc>
        <w:tc>
          <w:tcPr>
            <w:tcW w:w="362" w:type="dxa"/>
            <w:shd w:val="clear" w:color="auto" w:fill="auto"/>
          </w:tcPr>
          <w:p w14:paraId="66F014F6" w14:textId="77777777" w:rsidR="00CD29BD" w:rsidRPr="004870C7" w:rsidRDefault="00CD29BD" w:rsidP="003B2A79">
            <w:pPr>
              <w:rPr>
                <w:szCs w:val="22"/>
              </w:rPr>
            </w:pPr>
          </w:p>
        </w:tc>
        <w:tc>
          <w:tcPr>
            <w:tcW w:w="362" w:type="dxa"/>
            <w:shd w:val="clear" w:color="auto" w:fill="auto"/>
          </w:tcPr>
          <w:p w14:paraId="23611549" w14:textId="77777777" w:rsidR="00CD29BD" w:rsidRPr="004870C7" w:rsidRDefault="00CD29BD" w:rsidP="003B2A79">
            <w:pPr>
              <w:rPr>
                <w:szCs w:val="22"/>
              </w:rPr>
            </w:pPr>
          </w:p>
        </w:tc>
        <w:tc>
          <w:tcPr>
            <w:tcW w:w="362" w:type="dxa"/>
            <w:shd w:val="clear" w:color="auto" w:fill="auto"/>
          </w:tcPr>
          <w:p w14:paraId="5E7A44EB" w14:textId="77777777" w:rsidR="00CD29BD" w:rsidRPr="004870C7" w:rsidRDefault="00CD29BD" w:rsidP="003B2A79">
            <w:pPr>
              <w:rPr>
                <w:szCs w:val="22"/>
              </w:rPr>
            </w:pPr>
          </w:p>
        </w:tc>
        <w:tc>
          <w:tcPr>
            <w:tcW w:w="362" w:type="dxa"/>
            <w:shd w:val="clear" w:color="auto" w:fill="auto"/>
          </w:tcPr>
          <w:p w14:paraId="13B2DC71" w14:textId="77777777" w:rsidR="00CD29BD" w:rsidRPr="004870C7" w:rsidRDefault="00CD29BD" w:rsidP="003B2A79">
            <w:pPr>
              <w:rPr>
                <w:szCs w:val="22"/>
              </w:rPr>
            </w:pPr>
          </w:p>
        </w:tc>
        <w:tc>
          <w:tcPr>
            <w:tcW w:w="362" w:type="dxa"/>
            <w:shd w:val="clear" w:color="auto" w:fill="B4C6E7" w:themeFill="accent1" w:themeFillTint="66"/>
          </w:tcPr>
          <w:p w14:paraId="4FBF9233" w14:textId="77777777" w:rsidR="00CD29BD" w:rsidRPr="004870C7" w:rsidRDefault="00CD29BD" w:rsidP="003B2A79">
            <w:pPr>
              <w:rPr>
                <w:szCs w:val="22"/>
              </w:rPr>
            </w:pPr>
          </w:p>
        </w:tc>
        <w:tc>
          <w:tcPr>
            <w:tcW w:w="362" w:type="dxa"/>
            <w:shd w:val="clear" w:color="auto" w:fill="B4C6E7" w:themeFill="accent1" w:themeFillTint="66"/>
          </w:tcPr>
          <w:p w14:paraId="03587C62" w14:textId="77777777" w:rsidR="00CD29BD" w:rsidRPr="004870C7" w:rsidRDefault="00CD29BD" w:rsidP="003B2A79">
            <w:pPr>
              <w:rPr>
                <w:szCs w:val="22"/>
              </w:rPr>
            </w:pPr>
          </w:p>
        </w:tc>
        <w:tc>
          <w:tcPr>
            <w:tcW w:w="362" w:type="dxa"/>
            <w:shd w:val="clear" w:color="auto" w:fill="B4C6E7" w:themeFill="accent1" w:themeFillTint="66"/>
          </w:tcPr>
          <w:p w14:paraId="74A86482" w14:textId="77777777" w:rsidR="00CD29BD" w:rsidRPr="004870C7" w:rsidRDefault="00CD29BD" w:rsidP="003B2A79">
            <w:pPr>
              <w:rPr>
                <w:szCs w:val="22"/>
              </w:rPr>
            </w:pPr>
          </w:p>
        </w:tc>
        <w:tc>
          <w:tcPr>
            <w:tcW w:w="362" w:type="dxa"/>
            <w:shd w:val="clear" w:color="auto" w:fill="B4C6E7" w:themeFill="accent1" w:themeFillTint="66"/>
          </w:tcPr>
          <w:p w14:paraId="7B24D62B" w14:textId="77777777" w:rsidR="00CD29BD" w:rsidRPr="004870C7" w:rsidRDefault="00CD29BD" w:rsidP="003B2A79">
            <w:pPr>
              <w:rPr>
                <w:szCs w:val="22"/>
              </w:rPr>
            </w:pPr>
          </w:p>
        </w:tc>
        <w:tc>
          <w:tcPr>
            <w:tcW w:w="362" w:type="dxa"/>
            <w:shd w:val="clear" w:color="auto" w:fill="B4C6E7" w:themeFill="accent1" w:themeFillTint="66"/>
          </w:tcPr>
          <w:p w14:paraId="4F393511" w14:textId="77777777" w:rsidR="00CD29BD" w:rsidRPr="004870C7" w:rsidRDefault="00CD29BD" w:rsidP="003B2A79">
            <w:pPr>
              <w:rPr>
                <w:szCs w:val="22"/>
              </w:rPr>
            </w:pPr>
          </w:p>
        </w:tc>
        <w:tc>
          <w:tcPr>
            <w:tcW w:w="362" w:type="dxa"/>
            <w:shd w:val="clear" w:color="auto" w:fill="auto"/>
          </w:tcPr>
          <w:p w14:paraId="60B5BA58" w14:textId="77777777" w:rsidR="00CD29BD" w:rsidRPr="004870C7" w:rsidRDefault="00CD29BD" w:rsidP="003B2A79">
            <w:pPr>
              <w:rPr>
                <w:szCs w:val="22"/>
              </w:rPr>
            </w:pPr>
          </w:p>
        </w:tc>
        <w:tc>
          <w:tcPr>
            <w:tcW w:w="362" w:type="dxa"/>
            <w:shd w:val="clear" w:color="auto" w:fill="auto"/>
          </w:tcPr>
          <w:p w14:paraId="36BAB4C3" w14:textId="77777777" w:rsidR="00CD29BD" w:rsidRPr="004870C7" w:rsidRDefault="00CD29BD" w:rsidP="003B2A79">
            <w:pPr>
              <w:rPr>
                <w:szCs w:val="22"/>
              </w:rPr>
            </w:pPr>
          </w:p>
        </w:tc>
        <w:tc>
          <w:tcPr>
            <w:tcW w:w="362" w:type="dxa"/>
            <w:shd w:val="clear" w:color="auto" w:fill="auto"/>
          </w:tcPr>
          <w:p w14:paraId="33B55ACE" w14:textId="77777777" w:rsidR="00CD29BD" w:rsidRPr="004870C7" w:rsidRDefault="00CD29BD" w:rsidP="003B2A79">
            <w:pPr>
              <w:rPr>
                <w:szCs w:val="22"/>
              </w:rPr>
            </w:pPr>
          </w:p>
        </w:tc>
        <w:tc>
          <w:tcPr>
            <w:tcW w:w="362" w:type="dxa"/>
            <w:shd w:val="clear" w:color="auto" w:fill="auto"/>
          </w:tcPr>
          <w:p w14:paraId="4F6972FE" w14:textId="77777777" w:rsidR="00CD29BD" w:rsidRPr="004870C7" w:rsidRDefault="00CD29BD" w:rsidP="003B2A79">
            <w:pPr>
              <w:rPr>
                <w:szCs w:val="22"/>
              </w:rPr>
            </w:pPr>
          </w:p>
        </w:tc>
        <w:tc>
          <w:tcPr>
            <w:tcW w:w="362" w:type="dxa"/>
            <w:shd w:val="clear" w:color="auto" w:fill="auto"/>
          </w:tcPr>
          <w:p w14:paraId="1B6D522B" w14:textId="77777777" w:rsidR="00CD29BD" w:rsidRPr="004870C7" w:rsidRDefault="00CD29BD" w:rsidP="003B2A79">
            <w:pPr>
              <w:rPr>
                <w:szCs w:val="22"/>
              </w:rPr>
            </w:pPr>
          </w:p>
        </w:tc>
        <w:tc>
          <w:tcPr>
            <w:tcW w:w="362" w:type="dxa"/>
            <w:shd w:val="clear" w:color="auto" w:fill="auto"/>
          </w:tcPr>
          <w:p w14:paraId="4BF5F192" w14:textId="77777777" w:rsidR="00CD29BD" w:rsidRPr="004870C7" w:rsidRDefault="00CD29BD" w:rsidP="003B2A79">
            <w:pPr>
              <w:rPr>
                <w:szCs w:val="22"/>
              </w:rPr>
            </w:pPr>
          </w:p>
        </w:tc>
        <w:tc>
          <w:tcPr>
            <w:tcW w:w="362" w:type="dxa"/>
            <w:shd w:val="clear" w:color="auto" w:fill="auto"/>
          </w:tcPr>
          <w:p w14:paraId="35413F7D" w14:textId="77777777" w:rsidR="00CD29BD" w:rsidRPr="004870C7" w:rsidRDefault="00CD29BD" w:rsidP="003B2A79">
            <w:pPr>
              <w:rPr>
                <w:szCs w:val="22"/>
              </w:rPr>
            </w:pPr>
          </w:p>
        </w:tc>
        <w:tc>
          <w:tcPr>
            <w:tcW w:w="362" w:type="dxa"/>
            <w:shd w:val="clear" w:color="auto" w:fill="auto"/>
          </w:tcPr>
          <w:p w14:paraId="232D62E6" w14:textId="77777777" w:rsidR="00CD29BD" w:rsidRPr="004870C7" w:rsidRDefault="00CD29BD" w:rsidP="003B2A79">
            <w:pPr>
              <w:rPr>
                <w:szCs w:val="22"/>
              </w:rPr>
            </w:pPr>
          </w:p>
        </w:tc>
      </w:tr>
      <w:tr w:rsidR="00CD29BD" w:rsidRPr="004870C7" w14:paraId="6BAD6972" w14:textId="77777777" w:rsidTr="00D35B7F">
        <w:tc>
          <w:tcPr>
            <w:tcW w:w="809" w:type="dxa"/>
            <w:vMerge/>
          </w:tcPr>
          <w:p w14:paraId="48DCF10F" w14:textId="77777777" w:rsidR="00CD29BD" w:rsidRPr="004870C7" w:rsidRDefault="00CD29BD" w:rsidP="003B2A79">
            <w:pPr>
              <w:rPr>
                <w:szCs w:val="22"/>
              </w:rPr>
            </w:pPr>
          </w:p>
        </w:tc>
        <w:tc>
          <w:tcPr>
            <w:tcW w:w="739" w:type="dxa"/>
            <w:vMerge w:val="restart"/>
            <w:shd w:val="clear" w:color="auto" w:fill="auto"/>
            <w:vAlign w:val="center"/>
          </w:tcPr>
          <w:p w14:paraId="5F18A90F" w14:textId="1DC1736B" w:rsidR="00CD29BD" w:rsidRPr="004870C7" w:rsidRDefault="00CD29BD" w:rsidP="00CE078C">
            <w:pPr>
              <w:jc w:val="center"/>
              <w:rPr>
                <w:szCs w:val="22"/>
              </w:rPr>
            </w:pPr>
            <w:r w:rsidRPr="004870C7">
              <w:rPr>
                <w:szCs w:val="22"/>
              </w:rPr>
              <w:t>4.2</w:t>
            </w:r>
          </w:p>
        </w:tc>
        <w:tc>
          <w:tcPr>
            <w:tcW w:w="634" w:type="dxa"/>
          </w:tcPr>
          <w:p w14:paraId="501A91C5" w14:textId="56659B28" w:rsidR="00CD29BD" w:rsidRPr="004870C7" w:rsidRDefault="00CD29BD" w:rsidP="003B2A79">
            <w:pPr>
              <w:rPr>
                <w:szCs w:val="22"/>
              </w:rPr>
            </w:pPr>
            <w:r w:rsidRPr="004870C7">
              <w:rPr>
                <w:szCs w:val="22"/>
              </w:rPr>
              <w:t>4.2.1</w:t>
            </w:r>
          </w:p>
        </w:tc>
        <w:tc>
          <w:tcPr>
            <w:tcW w:w="362" w:type="dxa"/>
            <w:shd w:val="clear" w:color="auto" w:fill="auto"/>
          </w:tcPr>
          <w:p w14:paraId="26570CEF" w14:textId="77777777" w:rsidR="00CD29BD" w:rsidRPr="004870C7" w:rsidRDefault="00CD29BD" w:rsidP="003B2A79">
            <w:pPr>
              <w:rPr>
                <w:szCs w:val="22"/>
              </w:rPr>
            </w:pPr>
          </w:p>
        </w:tc>
        <w:tc>
          <w:tcPr>
            <w:tcW w:w="362" w:type="dxa"/>
            <w:shd w:val="clear" w:color="auto" w:fill="auto"/>
          </w:tcPr>
          <w:p w14:paraId="7497E28C" w14:textId="77777777" w:rsidR="00CD29BD" w:rsidRPr="004870C7" w:rsidRDefault="00CD29BD" w:rsidP="003B2A79">
            <w:pPr>
              <w:rPr>
                <w:szCs w:val="22"/>
              </w:rPr>
            </w:pPr>
          </w:p>
        </w:tc>
        <w:tc>
          <w:tcPr>
            <w:tcW w:w="362" w:type="dxa"/>
            <w:shd w:val="clear" w:color="auto" w:fill="auto"/>
          </w:tcPr>
          <w:p w14:paraId="01DAF7C5" w14:textId="77777777" w:rsidR="00CD29BD" w:rsidRPr="004870C7" w:rsidRDefault="00CD29BD" w:rsidP="003B2A79">
            <w:pPr>
              <w:rPr>
                <w:szCs w:val="22"/>
              </w:rPr>
            </w:pPr>
          </w:p>
        </w:tc>
        <w:tc>
          <w:tcPr>
            <w:tcW w:w="362" w:type="dxa"/>
            <w:shd w:val="clear" w:color="auto" w:fill="auto"/>
          </w:tcPr>
          <w:p w14:paraId="485FEB0D" w14:textId="77777777" w:rsidR="00CD29BD" w:rsidRPr="004870C7" w:rsidRDefault="00CD29BD" w:rsidP="003B2A79">
            <w:pPr>
              <w:rPr>
                <w:szCs w:val="22"/>
              </w:rPr>
            </w:pPr>
          </w:p>
        </w:tc>
        <w:tc>
          <w:tcPr>
            <w:tcW w:w="362" w:type="dxa"/>
            <w:shd w:val="clear" w:color="auto" w:fill="auto"/>
          </w:tcPr>
          <w:p w14:paraId="22C92B31" w14:textId="77777777" w:rsidR="00CD29BD" w:rsidRPr="004870C7" w:rsidRDefault="00CD29BD" w:rsidP="003B2A79">
            <w:pPr>
              <w:rPr>
                <w:szCs w:val="22"/>
              </w:rPr>
            </w:pPr>
          </w:p>
        </w:tc>
        <w:tc>
          <w:tcPr>
            <w:tcW w:w="362" w:type="dxa"/>
            <w:shd w:val="clear" w:color="auto" w:fill="auto"/>
          </w:tcPr>
          <w:p w14:paraId="1A8ABCA3" w14:textId="77777777" w:rsidR="00CD29BD" w:rsidRPr="004870C7" w:rsidRDefault="00CD29BD" w:rsidP="003B2A79">
            <w:pPr>
              <w:rPr>
                <w:szCs w:val="22"/>
              </w:rPr>
            </w:pPr>
          </w:p>
        </w:tc>
        <w:tc>
          <w:tcPr>
            <w:tcW w:w="362" w:type="dxa"/>
            <w:shd w:val="clear" w:color="auto" w:fill="B4C6E7" w:themeFill="accent1" w:themeFillTint="66"/>
          </w:tcPr>
          <w:p w14:paraId="577377C7" w14:textId="77777777" w:rsidR="00CD29BD" w:rsidRPr="004870C7" w:rsidRDefault="00CD29BD" w:rsidP="003B2A79">
            <w:pPr>
              <w:rPr>
                <w:szCs w:val="22"/>
              </w:rPr>
            </w:pPr>
          </w:p>
        </w:tc>
        <w:tc>
          <w:tcPr>
            <w:tcW w:w="362" w:type="dxa"/>
            <w:shd w:val="clear" w:color="auto" w:fill="B4C6E7" w:themeFill="accent1" w:themeFillTint="66"/>
          </w:tcPr>
          <w:p w14:paraId="03C700D6" w14:textId="77777777" w:rsidR="00CD29BD" w:rsidRPr="004870C7" w:rsidRDefault="00CD29BD" w:rsidP="003B2A79">
            <w:pPr>
              <w:rPr>
                <w:szCs w:val="22"/>
              </w:rPr>
            </w:pPr>
          </w:p>
        </w:tc>
        <w:tc>
          <w:tcPr>
            <w:tcW w:w="362" w:type="dxa"/>
            <w:shd w:val="clear" w:color="auto" w:fill="B4C6E7" w:themeFill="accent1" w:themeFillTint="66"/>
          </w:tcPr>
          <w:p w14:paraId="0477C8AB" w14:textId="77777777" w:rsidR="00CD29BD" w:rsidRPr="004870C7" w:rsidRDefault="00CD29BD" w:rsidP="003B2A79">
            <w:pPr>
              <w:rPr>
                <w:szCs w:val="22"/>
              </w:rPr>
            </w:pPr>
          </w:p>
        </w:tc>
        <w:tc>
          <w:tcPr>
            <w:tcW w:w="362" w:type="dxa"/>
            <w:shd w:val="clear" w:color="auto" w:fill="B4C6E7" w:themeFill="accent1" w:themeFillTint="66"/>
          </w:tcPr>
          <w:p w14:paraId="025A0112" w14:textId="77777777" w:rsidR="00CD29BD" w:rsidRPr="004870C7" w:rsidRDefault="00CD29BD" w:rsidP="003B2A79">
            <w:pPr>
              <w:rPr>
                <w:szCs w:val="22"/>
              </w:rPr>
            </w:pPr>
          </w:p>
        </w:tc>
        <w:tc>
          <w:tcPr>
            <w:tcW w:w="362" w:type="dxa"/>
            <w:shd w:val="clear" w:color="auto" w:fill="B4C6E7" w:themeFill="accent1" w:themeFillTint="66"/>
          </w:tcPr>
          <w:p w14:paraId="51E7C4D0" w14:textId="77777777" w:rsidR="00CD29BD" w:rsidRPr="004870C7" w:rsidRDefault="00CD29BD" w:rsidP="003B2A79">
            <w:pPr>
              <w:rPr>
                <w:szCs w:val="22"/>
              </w:rPr>
            </w:pPr>
          </w:p>
        </w:tc>
        <w:tc>
          <w:tcPr>
            <w:tcW w:w="362" w:type="dxa"/>
            <w:shd w:val="clear" w:color="auto" w:fill="B4C6E7" w:themeFill="accent1" w:themeFillTint="66"/>
          </w:tcPr>
          <w:p w14:paraId="43763F06" w14:textId="77777777" w:rsidR="00CD29BD" w:rsidRPr="004870C7" w:rsidRDefault="00CD29BD" w:rsidP="003B2A79">
            <w:pPr>
              <w:rPr>
                <w:szCs w:val="22"/>
              </w:rPr>
            </w:pPr>
          </w:p>
        </w:tc>
        <w:tc>
          <w:tcPr>
            <w:tcW w:w="362" w:type="dxa"/>
            <w:shd w:val="clear" w:color="auto" w:fill="auto"/>
          </w:tcPr>
          <w:p w14:paraId="2A5CA365" w14:textId="77777777" w:rsidR="00CD29BD" w:rsidRPr="004870C7" w:rsidRDefault="00CD29BD" w:rsidP="003B2A79">
            <w:pPr>
              <w:rPr>
                <w:szCs w:val="22"/>
              </w:rPr>
            </w:pPr>
          </w:p>
        </w:tc>
        <w:tc>
          <w:tcPr>
            <w:tcW w:w="362" w:type="dxa"/>
            <w:shd w:val="clear" w:color="auto" w:fill="auto"/>
          </w:tcPr>
          <w:p w14:paraId="3EF527D8" w14:textId="77777777" w:rsidR="00CD29BD" w:rsidRPr="004870C7" w:rsidRDefault="00CD29BD" w:rsidP="003B2A79">
            <w:pPr>
              <w:rPr>
                <w:szCs w:val="22"/>
              </w:rPr>
            </w:pPr>
          </w:p>
        </w:tc>
        <w:tc>
          <w:tcPr>
            <w:tcW w:w="362" w:type="dxa"/>
            <w:shd w:val="clear" w:color="auto" w:fill="auto"/>
          </w:tcPr>
          <w:p w14:paraId="5E064E40" w14:textId="77777777" w:rsidR="00CD29BD" w:rsidRPr="004870C7" w:rsidRDefault="00CD29BD" w:rsidP="003B2A79">
            <w:pPr>
              <w:rPr>
                <w:szCs w:val="22"/>
              </w:rPr>
            </w:pPr>
          </w:p>
        </w:tc>
        <w:tc>
          <w:tcPr>
            <w:tcW w:w="362" w:type="dxa"/>
            <w:shd w:val="clear" w:color="auto" w:fill="auto"/>
          </w:tcPr>
          <w:p w14:paraId="32F4E3B6" w14:textId="77777777" w:rsidR="00CD29BD" w:rsidRPr="004870C7" w:rsidRDefault="00CD29BD" w:rsidP="003B2A79">
            <w:pPr>
              <w:rPr>
                <w:szCs w:val="22"/>
              </w:rPr>
            </w:pPr>
          </w:p>
        </w:tc>
        <w:tc>
          <w:tcPr>
            <w:tcW w:w="362" w:type="dxa"/>
            <w:shd w:val="clear" w:color="auto" w:fill="auto"/>
          </w:tcPr>
          <w:p w14:paraId="77D09D9F" w14:textId="77777777" w:rsidR="00CD29BD" w:rsidRPr="004870C7" w:rsidRDefault="00CD29BD" w:rsidP="003B2A79">
            <w:pPr>
              <w:rPr>
                <w:szCs w:val="22"/>
              </w:rPr>
            </w:pPr>
          </w:p>
        </w:tc>
        <w:tc>
          <w:tcPr>
            <w:tcW w:w="362" w:type="dxa"/>
            <w:shd w:val="clear" w:color="auto" w:fill="auto"/>
          </w:tcPr>
          <w:p w14:paraId="193BDB2B" w14:textId="77777777" w:rsidR="00CD29BD" w:rsidRPr="004870C7" w:rsidRDefault="00CD29BD" w:rsidP="003B2A79">
            <w:pPr>
              <w:rPr>
                <w:szCs w:val="22"/>
              </w:rPr>
            </w:pPr>
          </w:p>
        </w:tc>
        <w:tc>
          <w:tcPr>
            <w:tcW w:w="362" w:type="dxa"/>
            <w:shd w:val="clear" w:color="auto" w:fill="auto"/>
          </w:tcPr>
          <w:p w14:paraId="2853C495" w14:textId="77777777" w:rsidR="00CD29BD" w:rsidRPr="004870C7" w:rsidRDefault="00CD29BD" w:rsidP="003B2A79">
            <w:pPr>
              <w:rPr>
                <w:szCs w:val="22"/>
              </w:rPr>
            </w:pPr>
          </w:p>
        </w:tc>
        <w:tc>
          <w:tcPr>
            <w:tcW w:w="362" w:type="dxa"/>
            <w:shd w:val="clear" w:color="auto" w:fill="auto"/>
          </w:tcPr>
          <w:p w14:paraId="30A9584E" w14:textId="77777777" w:rsidR="00CD29BD" w:rsidRPr="004870C7" w:rsidRDefault="00CD29BD" w:rsidP="003B2A79">
            <w:pPr>
              <w:rPr>
                <w:szCs w:val="22"/>
              </w:rPr>
            </w:pPr>
          </w:p>
        </w:tc>
      </w:tr>
      <w:tr w:rsidR="00CD29BD" w:rsidRPr="004870C7" w14:paraId="4AA406B7" w14:textId="77777777" w:rsidTr="00D35B7F">
        <w:tc>
          <w:tcPr>
            <w:tcW w:w="809" w:type="dxa"/>
            <w:vMerge/>
          </w:tcPr>
          <w:p w14:paraId="1DCCB22D" w14:textId="77777777" w:rsidR="00CD29BD" w:rsidRPr="004870C7" w:rsidRDefault="00CD29BD" w:rsidP="003B2A79">
            <w:pPr>
              <w:rPr>
                <w:szCs w:val="22"/>
              </w:rPr>
            </w:pPr>
          </w:p>
        </w:tc>
        <w:tc>
          <w:tcPr>
            <w:tcW w:w="739" w:type="dxa"/>
            <w:vMerge/>
            <w:shd w:val="clear" w:color="auto" w:fill="auto"/>
            <w:vAlign w:val="center"/>
          </w:tcPr>
          <w:p w14:paraId="50DC3273" w14:textId="77777777" w:rsidR="00CD29BD" w:rsidRPr="004870C7" w:rsidRDefault="00CD29BD" w:rsidP="00CE078C">
            <w:pPr>
              <w:jc w:val="center"/>
              <w:rPr>
                <w:szCs w:val="22"/>
              </w:rPr>
            </w:pPr>
          </w:p>
        </w:tc>
        <w:tc>
          <w:tcPr>
            <w:tcW w:w="634" w:type="dxa"/>
          </w:tcPr>
          <w:p w14:paraId="2A885845" w14:textId="46C70E4A" w:rsidR="00CD29BD" w:rsidRPr="004870C7" w:rsidRDefault="00CD29BD" w:rsidP="003B2A79">
            <w:pPr>
              <w:rPr>
                <w:szCs w:val="22"/>
              </w:rPr>
            </w:pPr>
            <w:r w:rsidRPr="004870C7">
              <w:rPr>
                <w:szCs w:val="22"/>
              </w:rPr>
              <w:t>4.2.2</w:t>
            </w:r>
          </w:p>
        </w:tc>
        <w:tc>
          <w:tcPr>
            <w:tcW w:w="362" w:type="dxa"/>
            <w:shd w:val="clear" w:color="auto" w:fill="auto"/>
          </w:tcPr>
          <w:p w14:paraId="4BAF1786" w14:textId="77777777" w:rsidR="00CD29BD" w:rsidRPr="004870C7" w:rsidRDefault="00CD29BD" w:rsidP="003B2A79">
            <w:pPr>
              <w:rPr>
                <w:szCs w:val="22"/>
              </w:rPr>
            </w:pPr>
          </w:p>
        </w:tc>
        <w:tc>
          <w:tcPr>
            <w:tcW w:w="362" w:type="dxa"/>
            <w:shd w:val="clear" w:color="auto" w:fill="auto"/>
          </w:tcPr>
          <w:p w14:paraId="17263BF6" w14:textId="77777777" w:rsidR="00CD29BD" w:rsidRPr="004870C7" w:rsidRDefault="00CD29BD" w:rsidP="003B2A79">
            <w:pPr>
              <w:rPr>
                <w:szCs w:val="22"/>
              </w:rPr>
            </w:pPr>
          </w:p>
        </w:tc>
        <w:tc>
          <w:tcPr>
            <w:tcW w:w="362" w:type="dxa"/>
            <w:shd w:val="clear" w:color="auto" w:fill="auto"/>
          </w:tcPr>
          <w:p w14:paraId="30D6FC66" w14:textId="77777777" w:rsidR="00CD29BD" w:rsidRPr="004870C7" w:rsidRDefault="00CD29BD" w:rsidP="003B2A79">
            <w:pPr>
              <w:rPr>
                <w:szCs w:val="22"/>
              </w:rPr>
            </w:pPr>
          </w:p>
        </w:tc>
        <w:tc>
          <w:tcPr>
            <w:tcW w:w="362" w:type="dxa"/>
            <w:shd w:val="clear" w:color="auto" w:fill="auto"/>
          </w:tcPr>
          <w:p w14:paraId="429D9917" w14:textId="77777777" w:rsidR="00CD29BD" w:rsidRPr="004870C7" w:rsidRDefault="00CD29BD" w:rsidP="003B2A79">
            <w:pPr>
              <w:rPr>
                <w:szCs w:val="22"/>
              </w:rPr>
            </w:pPr>
          </w:p>
        </w:tc>
        <w:tc>
          <w:tcPr>
            <w:tcW w:w="362" w:type="dxa"/>
            <w:shd w:val="clear" w:color="auto" w:fill="auto"/>
          </w:tcPr>
          <w:p w14:paraId="3306DE80" w14:textId="77777777" w:rsidR="00CD29BD" w:rsidRPr="004870C7" w:rsidRDefault="00CD29BD" w:rsidP="003B2A79">
            <w:pPr>
              <w:rPr>
                <w:szCs w:val="22"/>
              </w:rPr>
            </w:pPr>
          </w:p>
        </w:tc>
        <w:tc>
          <w:tcPr>
            <w:tcW w:w="362" w:type="dxa"/>
            <w:shd w:val="clear" w:color="auto" w:fill="auto"/>
          </w:tcPr>
          <w:p w14:paraId="2992917E" w14:textId="77777777" w:rsidR="00CD29BD" w:rsidRPr="004870C7" w:rsidRDefault="00CD29BD" w:rsidP="003B2A79">
            <w:pPr>
              <w:rPr>
                <w:szCs w:val="22"/>
              </w:rPr>
            </w:pPr>
          </w:p>
        </w:tc>
        <w:tc>
          <w:tcPr>
            <w:tcW w:w="362" w:type="dxa"/>
            <w:shd w:val="clear" w:color="auto" w:fill="B4C6E7" w:themeFill="accent1" w:themeFillTint="66"/>
          </w:tcPr>
          <w:p w14:paraId="76E46311" w14:textId="77777777" w:rsidR="00CD29BD" w:rsidRPr="004870C7" w:rsidRDefault="00CD29BD" w:rsidP="003B2A79">
            <w:pPr>
              <w:rPr>
                <w:szCs w:val="22"/>
              </w:rPr>
            </w:pPr>
          </w:p>
        </w:tc>
        <w:tc>
          <w:tcPr>
            <w:tcW w:w="362" w:type="dxa"/>
            <w:shd w:val="clear" w:color="auto" w:fill="B4C6E7" w:themeFill="accent1" w:themeFillTint="66"/>
          </w:tcPr>
          <w:p w14:paraId="32B96A47" w14:textId="77777777" w:rsidR="00CD29BD" w:rsidRPr="004870C7" w:rsidRDefault="00CD29BD" w:rsidP="003B2A79">
            <w:pPr>
              <w:rPr>
                <w:szCs w:val="22"/>
              </w:rPr>
            </w:pPr>
          </w:p>
        </w:tc>
        <w:tc>
          <w:tcPr>
            <w:tcW w:w="362" w:type="dxa"/>
            <w:shd w:val="clear" w:color="auto" w:fill="B4C6E7" w:themeFill="accent1" w:themeFillTint="66"/>
          </w:tcPr>
          <w:p w14:paraId="0E2EFD3D" w14:textId="77777777" w:rsidR="00CD29BD" w:rsidRPr="004870C7" w:rsidRDefault="00CD29BD" w:rsidP="003B2A79">
            <w:pPr>
              <w:rPr>
                <w:szCs w:val="22"/>
              </w:rPr>
            </w:pPr>
          </w:p>
        </w:tc>
        <w:tc>
          <w:tcPr>
            <w:tcW w:w="362" w:type="dxa"/>
            <w:shd w:val="clear" w:color="auto" w:fill="B4C6E7" w:themeFill="accent1" w:themeFillTint="66"/>
          </w:tcPr>
          <w:p w14:paraId="3BB5BFAA" w14:textId="77777777" w:rsidR="00CD29BD" w:rsidRPr="004870C7" w:rsidRDefault="00CD29BD" w:rsidP="003B2A79">
            <w:pPr>
              <w:rPr>
                <w:szCs w:val="22"/>
              </w:rPr>
            </w:pPr>
          </w:p>
        </w:tc>
        <w:tc>
          <w:tcPr>
            <w:tcW w:w="362" w:type="dxa"/>
            <w:shd w:val="clear" w:color="auto" w:fill="B4C6E7" w:themeFill="accent1" w:themeFillTint="66"/>
          </w:tcPr>
          <w:p w14:paraId="4686A091" w14:textId="77777777" w:rsidR="00CD29BD" w:rsidRPr="004870C7" w:rsidRDefault="00CD29BD" w:rsidP="003B2A79">
            <w:pPr>
              <w:rPr>
                <w:szCs w:val="22"/>
              </w:rPr>
            </w:pPr>
          </w:p>
        </w:tc>
        <w:tc>
          <w:tcPr>
            <w:tcW w:w="362" w:type="dxa"/>
            <w:shd w:val="clear" w:color="auto" w:fill="B4C6E7" w:themeFill="accent1" w:themeFillTint="66"/>
          </w:tcPr>
          <w:p w14:paraId="35CAC347" w14:textId="77777777" w:rsidR="00CD29BD" w:rsidRPr="004870C7" w:rsidRDefault="00CD29BD" w:rsidP="003B2A79">
            <w:pPr>
              <w:rPr>
                <w:szCs w:val="22"/>
              </w:rPr>
            </w:pPr>
          </w:p>
        </w:tc>
        <w:tc>
          <w:tcPr>
            <w:tcW w:w="362" w:type="dxa"/>
            <w:shd w:val="clear" w:color="auto" w:fill="auto"/>
          </w:tcPr>
          <w:p w14:paraId="3EB24426" w14:textId="77777777" w:rsidR="00CD29BD" w:rsidRPr="004870C7" w:rsidRDefault="00CD29BD" w:rsidP="003B2A79">
            <w:pPr>
              <w:rPr>
                <w:szCs w:val="22"/>
              </w:rPr>
            </w:pPr>
          </w:p>
        </w:tc>
        <w:tc>
          <w:tcPr>
            <w:tcW w:w="362" w:type="dxa"/>
            <w:shd w:val="clear" w:color="auto" w:fill="auto"/>
          </w:tcPr>
          <w:p w14:paraId="57ED38F9" w14:textId="77777777" w:rsidR="00CD29BD" w:rsidRPr="004870C7" w:rsidRDefault="00CD29BD" w:rsidP="003B2A79">
            <w:pPr>
              <w:rPr>
                <w:szCs w:val="22"/>
              </w:rPr>
            </w:pPr>
          </w:p>
        </w:tc>
        <w:tc>
          <w:tcPr>
            <w:tcW w:w="362" w:type="dxa"/>
            <w:shd w:val="clear" w:color="auto" w:fill="auto"/>
          </w:tcPr>
          <w:p w14:paraId="42AF9A20" w14:textId="77777777" w:rsidR="00CD29BD" w:rsidRPr="004870C7" w:rsidRDefault="00CD29BD" w:rsidP="003B2A79">
            <w:pPr>
              <w:rPr>
                <w:szCs w:val="22"/>
              </w:rPr>
            </w:pPr>
          </w:p>
        </w:tc>
        <w:tc>
          <w:tcPr>
            <w:tcW w:w="362" w:type="dxa"/>
            <w:shd w:val="clear" w:color="auto" w:fill="auto"/>
          </w:tcPr>
          <w:p w14:paraId="65B88627" w14:textId="77777777" w:rsidR="00CD29BD" w:rsidRPr="004870C7" w:rsidRDefault="00CD29BD" w:rsidP="003B2A79">
            <w:pPr>
              <w:rPr>
                <w:szCs w:val="22"/>
              </w:rPr>
            </w:pPr>
          </w:p>
        </w:tc>
        <w:tc>
          <w:tcPr>
            <w:tcW w:w="362" w:type="dxa"/>
            <w:shd w:val="clear" w:color="auto" w:fill="auto"/>
          </w:tcPr>
          <w:p w14:paraId="72FF7FC6" w14:textId="77777777" w:rsidR="00CD29BD" w:rsidRPr="004870C7" w:rsidRDefault="00CD29BD" w:rsidP="003B2A79">
            <w:pPr>
              <w:rPr>
                <w:szCs w:val="22"/>
              </w:rPr>
            </w:pPr>
          </w:p>
        </w:tc>
        <w:tc>
          <w:tcPr>
            <w:tcW w:w="362" w:type="dxa"/>
            <w:shd w:val="clear" w:color="auto" w:fill="auto"/>
          </w:tcPr>
          <w:p w14:paraId="4ED5C790" w14:textId="77777777" w:rsidR="00CD29BD" w:rsidRPr="004870C7" w:rsidRDefault="00CD29BD" w:rsidP="003B2A79">
            <w:pPr>
              <w:rPr>
                <w:szCs w:val="22"/>
              </w:rPr>
            </w:pPr>
          </w:p>
        </w:tc>
        <w:tc>
          <w:tcPr>
            <w:tcW w:w="362" w:type="dxa"/>
            <w:shd w:val="clear" w:color="auto" w:fill="auto"/>
          </w:tcPr>
          <w:p w14:paraId="7A55CA3B" w14:textId="77777777" w:rsidR="00CD29BD" w:rsidRPr="004870C7" w:rsidRDefault="00CD29BD" w:rsidP="003B2A79">
            <w:pPr>
              <w:rPr>
                <w:szCs w:val="22"/>
              </w:rPr>
            </w:pPr>
          </w:p>
        </w:tc>
        <w:tc>
          <w:tcPr>
            <w:tcW w:w="362" w:type="dxa"/>
            <w:shd w:val="clear" w:color="auto" w:fill="auto"/>
          </w:tcPr>
          <w:p w14:paraId="483C415A" w14:textId="77777777" w:rsidR="00CD29BD" w:rsidRPr="004870C7" w:rsidRDefault="00CD29BD" w:rsidP="003B2A79">
            <w:pPr>
              <w:rPr>
                <w:szCs w:val="22"/>
              </w:rPr>
            </w:pPr>
          </w:p>
        </w:tc>
      </w:tr>
      <w:tr w:rsidR="00CD29BD" w:rsidRPr="004870C7" w14:paraId="79130EE8" w14:textId="77777777" w:rsidTr="00D35B7F">
        <w:tc>
          <w:tcPr>
            <w:tcW w:w="809" w:type="dxa"/>
            <w:vMerge/>
          </w:tcPr>
          <w:p w14:paraId="658EFD7A" w14:textId="77777777" w:rsidR="00CD29BD" w:rsidRPr="004870C7" w:rsidRDefault="00CD29BD" w:rsidP="003B2A79">
            <w:pPr>
              <w:rPr>
                <w:szCs w:val="22"/>
              </w:rPr>
            </w:pPr>
          </w:p>
        </w:tc>
        <w:tc>
          <w:tcPr>
            <w:tcW w:w="739" w:type="dxa"/>
            <w:vMerge/>
            <w:shd w:val="clear" w:color="auto" w:fill="auto"/>
            <w:vAlign w:val="center"/>
          </w:tcPr>
          <w:p w14:paraId="399F2024" w14:textId="77777777" w:rsidR="00CD29BD" w:rsidRPr="004870C7" w:rsidRDefault="00CD29BD" w:rsidP="00CE078C">
            <w:pPr>
              <w:jc w:val="center"/>
              <w:rPr>
                <w:szCs w:val="22"/>
              </w:rPr>
            </w:pPr>
          </w:p>
        </w:tc>
        <w:tc>
          <w:tcPr>
            <w:tcW w:w="634" w:type="dxa"/>
          </w:tcPr>
          <w:p w14:paraId="28A0D15B" w14:textId="0FA0E1BE" w:rsidR="00CD29BD" w:rsidRPr="004870C7" w:rsidRDefault="00CD29BD" w:rsidP="003B2A79">
            <w:pPr>
              <w:rPr>
                <w:szCs w:val="22"/>
              </w:rPr>
            </w:pPr>
            <w:r w:rsidRPr="004870C7">
              <w:rPr>
                <w:szCs w:val="22"/>
              </w:rPr>
              <w:t>4.2.3</w:t>
            </w:r>
          </w:p>
        </w:tc>
        <w:tc>
          <w:tcPr>
            <w:tcW w:w="362" w:type="dxa"/>
            <w:shd w:val="clear" w:color="auto" w:fill="auto"/>
          </w:tcPr>
          <w:p w14:paraId="3C8C6674" w14:textId="77777777" w:rsidR="00CD29BD" w:rsidRPr="004870C7" w:rsidRDefault="00CD29BD" w:rsidP="003B2A79">
            <w:pPr>
              <w:rPr>
                <w:szCs w:val="22"/>
              </w:rPr>
            </w:pPr>
          </w:p>
        </w:tc>
        <w:tc>
          <w:tcPr>
            <w:tcW w:w="362" w:type="dxa"/>
            <w:shd w:val="clear" w:color="auto" w:fill="auto"/>
          </w:tcPr>
          <w:p w14:paraId="7143342C" w14:textId="77777777" w:rsidR="00CD29BD" w:rsidRPr="004870C7" w:rsidRDefault="00CD29BD" w:rsidP="003B2A79">
            <w:pPr>
              <w:rPr>
                <w:szCs w:val="22"/>
              </w:rPr>
            </w:pPr>
          </w:p>
        </w:tc>
        <w:tc>
          <w:tcPr>
            <w:tcW w:w="362" w:type="dxa"/>
            <w:shd w:val="clear" w:color="auto" w:fill="auto"/>
          </w:tcPr>
          <w:p w14:paraId="3A35797D" w14:textId="77777777" w:rsidR="00CD29BD" w:rsidRPr="004870C7" w:rsidRDefault="00CD29BD" w:rsidP="003B2A79">
            <w:pPr>
              <w:rPr>
                <w:szCs w:val="22"/>
              </w:rPr>
            </w:pPr>
          </w:p>
        </w:tc>
        <w:tc>
          <w:tcPr>
            <w:tcW w:w="362" w:type="dxa"/>
            <w:shd w:val="clear" w:color="auto" w:fill="auto"/>
          </w:tcPr>
          <w:p w14:paraId="308293D7" w14:textId="77777777" w:rsidR="00CD29BD" w:rsidRPr="004870C7" w:rsidRDefault="00CD29BD" w:rsidP="003B2A79">
            <w:pPr>
              <w:rPr>
                <w:szCs w:val="22"/>
              </w:rPr>
            </w:pPr>
          </w:p>
        </w:tc>
        <w:tc>
          <w:tcPr>
            <w:tcW w:w="362" w:type="dxa"/>
            <w:shd w:val="clear" w:color="auto" w:fill="auto"/>
          </w:tcPr>
          <w:p w14:paraId="1C6E7A5F" w14:textId="77777777" w:rsidR="00CD29BD" w:rsidRPr="004870C7" w:rsidRDefault="00CD29BD" w:rsidP="003B2A79">
            <w:pPr>
              <w:rPr>
                <w:szCs w:val="22"/>
              </w:rPr>
            </w:pPr>
          </w:p>
        </w:tc>
        <w:tc>
          <w:tcPr>
            <w:tcW w:w="362" w:type="dxa"/>
            <w:shd w:val="clear" w:color="auto" w:fill="auto"/>
          </w:tcPr>
          <w:p w14:paraId="55594B21" w14:textId="77777777" w:rsidR="00CD29BD" w:rsidRPr="004870C7" w:rsidRDefault="00CD29BD" w:rsidP="003B2A79">
            <w:pPr>
              <w:rPr>
                <w:szCs w:val="22"/>
              </w:rPr>
            </w:pPr>
          </w:p>
        </w:tc>
        <w:tc>
          <w:tcPr>
            <w:tcW w:w="362" w:type="dxa"/>
            <w:shd w:val="clear" w:color="auto" w:fill="B4C6E7" w:themeFill="accent1" w:themeFillTint="66"/>
          </w:tcPr>
          <w:p w14:paraId="5DA408CE" w14:textId="77777777" w:rsidR="00CD29BD" w:rsidRPr="004870C7" w:rsidRDefault="00CD29BD" w:rsidP="003B2A79">
            <w:pPr>
              <w:rPr>
                <w:szCs w:val="22"/>
              </w:rPr>
            </w:pPr>
          </w:p>
        </w:tc>
        <w:tc>
          <w:tcPr>
            <w:tcW w:w="362" w:type="dxa"/>
            <w:shd w:val="clear" w:color="auto" w:fill="B4C6E7" w:themeFill="accent1" w:themeFillTint="66"/>
          </w:tcPr>
          <w:p w14:paraId="78F29C2D" w14:textId="77777777" w:rsidR="00CD29BD" w:rsidRPr="004870C7" w:rsidRDefault="00CD29BD" w:rsidP="003B2A79">
            <w:pPr>
              <w:rPr>
                <w:szCs w:val="22"/>
              </w:rPr>
            </w:pPr>
          </w:p>
        </w:tc>
        <w:tc>
          <w:tcPr>
            <w:tcW w:w="362" w:type="dxa"/>
            <w:shd w:val="clear" w:color="auto" w:fill="B4C6E7" w:themeFill="accent1" w:themeFillTint="66"/>
          </w:tcPr>
          <w:p w14:paraId="0E5E6648" w14:textId="77777777" w:rsidR="00CD29BD" w:rsidRPr="004870C7" w:rsidRDefault="00CD29BD" w:rsidP="003B2A79">
            <w:pPr>
              <w:rPr>
                <w:szCs w:val="22"/>
              </w:rPr>
            </w:pPr>
          </w:p>
        </w:tc>
        <w:tc>
          <w:tcPr>
            <w:tcW w:w="362" w:type="dxa"/>
            <w:shd w:val="clear" w:color="auto" w:fill="B4C6E7" w:themeFill="accent1" w:themeFillTint="66"/>
          </w:tcPr>
          <w:p w14:paraId="56869C6A" w14:textId="77777777" w:rsidR="00CD29BD" w:rsidRPr="004870C7" w:rsidRDefault="00CD29BD" w:rsidP="003B2A79">
            <w:pPr>
              <w:rPr>
                <w:szCs w:val="22"/>
              </w:rPr>
            </w:pPr>
          </w:p>
        </w:tc>
        <w:tc>
          <w:tcPr>
            <w:tcW w:w="362" w:type="dxa"/>
            <w:shd w:val="clear" w:color="auto" w:fill="B4C6E7" w:themeFill="accent1" w:themeFillTint="66"/>
          </w:tcPr>
          <w:p w14:paraId="052B7A8F" w14:textId="77777777" w:rsidR="00CD29BD" w:rsidRPr="004870C7" w:rsidRDefault="00CD29BD" w:rsidP="003B2A79">
            <w:pPr>
              <w:rPr>
                <w:szCs w:val="22"/>
              </w:rPr>
            </w:pPr>
          </w:p>
        </w:tc>
        <w:tc>
          <w:tcPr>
            <w:tcW w:w="362" w:type="dxa"/>
            <w:shd w:val="clear" w:color="auto" w:fill="B4C6E7" w:themeFill="accent1" w:themeFillTint="66"/>
          </w:tcPr>
          <w:p w14:paraId="70097093" w14:textId="77777777" w:rsidR="00CD29BD" w:rsidRPr="004870C7" w:rsidRDefault="00CD29BD" w:rsidP="003B2A79">
            <w:pPr>
              <w:rPr>
                <w:szCs w:val="22"/>
              </w:rPr>
            </w:pPr>
          </w:p>
        </w:tc>
        <w:tc>
          <w:tcPr>
            <w:tcW w:w="362" w:type="dxa"/>
            <w:shd w:val="clear" w:color="auto" w:fill="auto"/>
          </w:tcPr>
          <w:p w14:paraId="3530B32F" w14:textId="77777777" w:rsidR="00CD29BD" w:rsidRPr="004870C7" w:rsidRDefault="00CD29BD" w:rsidP="003B2A79">
            <w:pPr>
              <w:rPr>
                <w:szCs w:val="22"/>
              </w:rPr>
            </w:pPr>
          </w:p>
        </w:tc>
        <w:tc>
          <w:tcPr>
            <w:tcW w:w="362" w:type="dxa"/>
            <w:shd w:val="clear" w:color="auto" w:fill="auto"/>
          </w:tcPr>
          <w:p w14:paraId="2856EE9D" w14:textId="77777777" w:rsidR="00CD29BD" w:rsidRPr="004870C7" w:rsidRDefault="00CD29BD" w:rsidP="003B2A79">
            <w:pPr>
              <w:rPr>
                <w:szCs w:val="22"/>
              </w:rPr>
            </w:pPr>
          </w:p>
        </w:tc>
        <w:tc>
          <w:tcPr>
            <w:tcW w:w="362" w:type="dxa"/>
            <w:shd w:val="clear" w:color="auto" w:fill="auto"/>
          </w:tcPr>
          <w:p w14:paraId="2A0CBD07" w14:textId="77777777" w:rsidR="00CD29BD" w:rsidRPr="004870C7" w:rsidRDefault="00CD29BD" w:rsidP="003B2A79">
            <w:pPr>
              <w:rPr>
                <w:szCs w:val="22"/>
              </w:rPr>
            </w:pPr>
          </w:p>
        </w:tc>
        <w:tc>
          <w:tcPr>
            <w:tcW w:w="362" w:type="dxa"/>
            <w:shd w:val="clear" w:color="auto" w:fill="auto"/>
          </w:tcPr>
          <w:p w14:paraId="45BC6DAA" w14:textId="77777777" w:rsidR="00CD29BD" w:rsidRPr="004870C7" w:rsidRDefault="00CD29BD" w:rsidP="003B2A79">
            <w:pPr>
              <w:rPr>
                <w:szCs w:val="22"/>
              </w:rPr>
            </w:pPr>
          </w:p>
        </w:tc>
        <w:tc>
          <w:tcPr>
            <w:tcW w:w="362" w:type="dxa"/>
            <w:shd w:val="clear" w:color="auto" w:fill="auto"/>
          </w:tcPr>
          <w:p w14:paraId="68C7EE78" w14:textId="77777777" w:rsidR="00CD29BD" w:rsidRPr="004870C7" w:rsidRDefault="00CD29BD" w:rsidP="003B2A79">
            <w:pPr>
              <w:rPr>
                <w:szCs w:val="22"/>
              </w:rPr>
            </w:pPr>
          </w:p>
        </w:tc>
        <w:tc>
          <w:tcPr>
            <w:tcW w:w="362" w:type="dxa"/>
            <w:shd w:val="clear" w:color="auto" w:fill="auto"/>
          </w:tcPr>
          <w:p w14:paraId="59145805" w14:textId="77777777" w:rsidR="00CD29BD" w:rsidRPr="004870C7" w:rsidRDefault="00CD29BD" w:rsidP="003B2A79">
            <w:pPr>
              <w:rPr>
                <w:szCs w:val="22"/>
              </w:rPr>
            </w:pPr>
          </w:p>
        </w:tc>
        <w:tc>
          <w:tcPr>
            <w:tcW w:w="362" w:type="dxa"/>
            <w:shd w:val="clear" w:color="auto" w:fill="auto"/>
          </w:tcPr>
          <w:p w14:paraId="7C819D44" w14:textId="77777777" w:rsidR="00CD29BD" w:rsidRPr="004870C7" w:rsidRDefault="00CD29BD" w:rsidP="003B2A79">
            <w:pPr>
              <w:rPr>
                <w:szCs w:val="22"/>
              </w:rPr>
            </w:pPr>
          </w:p>
        </w:tc>
        <w:tc>
          <w:tcPr>
            <w:tcW w:w="362" w:type="dxa"/>
            <w:shd w:val="clear" w:color="auto" w:fill="auto"/>
          </w:tcPr>
          <w:p w14:paraId="137B37A9" w14:textId="77777777" w:rsidR="00CD29BD" w:rsidRPr="004870C7" w:rsidRDefault="00CD29BD" w:rsidP="003B2A79">
            <w:pPr>
              <w:rPr>
                <w:szCs w:val="22"/>
              </w:rPr>
            </w:pPr>
          </w:p>
        </w:tc>
      </w:tr>
      <w:tr w:rsidR="00CD29BD" w:rsidRPr="004870C7" w14:paraId="184E7904" w14:textId="77777777" w:rsidTr="00D35B7F">
        <w:tc>
          <w:tcPr>
            <w:tcW w:w="809" w:type="dxa"/>
            <w:vMerge/>
          </w:tcPr>
          <w:p w14:paraId="11D39116" w14:textId="77777777" w:rsidR="00CD29BD" w:rsidRPr="004870C7" w:rsidRDefault="00CD29BD" w:rsidP="003B2A79">
            <w:pPr>
              <w:rPr>
                <w:szCs w:val="22"/>
              </w:rPr>
            </w:pPr>
          </w:p>
        </w:tc>
        <w:tc>
          <w:tcPr>
            <w:tcW w:w="739" w:type="dxa"/>
            <w:vMerge/>
            <w:shd w:val="clear" w:color="auto" w:fill="auto"/>
            <w:vAlign w:val="center"/>
          </w:tcPr>
          <w:p w14:paraId="7C71B827" w14:textId="77777777" w:rsidR="00CD29BD" w:rsidRPr="004870C7" w:rsidRDefault="00CD29BD" w:rsidP="00CE078C">
            <w:pPr>
              <w:jc w:val="center"/>
              <w:rPr>
                <w:szCs w:val="22"/>
              </w:rPr>
            </w:pPr>
          </w:p>
        </w:tc>
        <w:tc>
          <w:tcPr>
            <w:tcW w:w="634" w:type="dxa"/>
          </w:tcPr>
          <w:p w14:paraId="31B2B518" w14:textId="6ACDD10D" w:rsidR="00CD29BD" w:rsidRPr="004870C7" w:rsidRDefault="00CD29BD" w:rsidP="003B2A79">
            <w:pPr>
              <w:rPr>
                <w:szCs w:val="22"/>
              </w:rPr>
            </w:pPr>
            <w:r w:rsidRPr="004870C7">
              <w:rPr>
                <w:szCs w:val="22"/>
              </w:rPr>
              <w:t>4.2.4</w:t>
            </w:r>
          </w:p>
        </w:tc>
        <w:tc>
          <w:tcPr>
            <w:tcW w:w="362" w:type="dxa"/>
            <w:shd w:val="clear" w:color="auto" w:fill="auto"/>
          </w:tcPr>
          <w:p w14:paraId="2FDA1630" w14:textId="77777777" w:rsidR="00CD29BD" w:rsidRPr="004870C7" w:rsidRDefault="00CD29BD" w:rsidP="003B2A79">
            <w:pPr>
              <w:rPr>
                <w:szCs w:val="22"/>
              </w:rPr>
            </w:pPr>
          </w:p>
        </w:tc>
        <w:tc>
          <w:tcPr>
            <w:tcW w:w="362" w:type="dxa"/>
            <w:shd w:val="clear" w:color="auto" w:fill="auto"/>
          </w:tcPr>
          <w:p w14:paraId="5C91F951" w14:textId="77777777" w:rsidR="00CD29BD" w:rsidRPr="004870C7" w:rsidRDefault="00CD29BD" w:rsidP="003B2A79">
            <w:pPr>
              <w:rPr>
                <w:szCs w:val="22"/>
              </w:rPr>
            </w:pPr>
          </w:p>
        </w:tc>
        <w:tc>
          <w:tcPr>
            <w:tcW w:w="362" w:type="dxa"/>
            <w:shd w:val="clear" w:color="auto" w:fill="auto"/>
          </w:tcPr>
          <w:p w14:paraId="67167602" w14:textId="77777777" w:rsidR="00CD29BD" w:rsidRPr="004870C7" w:rsidRDefault="00CD29BD" w:rsidP="003B2A79">
            <w:pPr>
              <w:rPr>
                <w:szCs w:val="22"/>
              </w:rPr>
            </w:pPr>
          </w:p>
        </w:tc>
        <w:tc>
          <w:tcPr>
            <w:tcW w:w="362" w:type="dxa"/>
            <w:shd w:val="clear" w:color="auto" w:fill="auto"/>
          </w:tcPr>
          <w:p w14:paraId="63BA25E8" w14:textId="77777777" w:rsidR="00CD29BD" w:rsidRPr="004870C7" w:rsidRDefault="00CD29BD" w:rsidP="003B2A79">
            <w:pPr>
              <w:rPr>
                <w:szCs w:val="22"/>
              </w:rPr>
            </w:pPr>
          </w:p>
        </w:tc>
        <w:tc>
          <w:tcPr>
            <w:tcW w:w="362" w:type="dxa"/>
            <w:shd w:val="clear" w:color="auto" w:fill="auto"/>
          </w:tcPr>
          <w:p w14:paraId="774D26CB" w14:textId="77777777" w:rsidR="00CD29BD" w:rsidRPr="004870C7" w:rsidRDefault="00CD29BD" w:rsidP="003B2A79">
            <w:pPr>
              <w:rPr>
                <w:szCs w:val="22"/>
              </w:rPr>
            </w:pPr>
          </w:p>
        </w:tc>
        <w:tc>
          <w:tcPr>
            <w:tcW w:w="362" w:type="dxa"/>
            <w:shd w:val="clear" w:color="auto" w:fill="auto"/>
          </w:tcPr>
          <w:p w14:paraId="65D64111" w14:textId="77777777" w:rsidR="00CD29BD" w:rsidRPr="004870C7" w:rsidRDefault="00CD29BD" w:rsidP="003B2A79">
            <w:pPr>
              <w:rPr>
                <w:szCs w:val="22"/>
              </w:rPr>
            </w:pPr>
          </w:p>
        </w:tc>
        <w:tc>
          <w:tcPr>
            <w:tcW w:w="362" w:type="dxa"/>
            <w:shd w:val="clear" w:color="auto" w:fill="B4C6E7" w:themeFill="accent1" w:themeFillTint="66"/>
          </w:tcPr>
          <w:p w14:paraId="678B04D0" w14:textId="77777777" w:rsidR="00CD29BD" w:rsidRPr="004870C7" w:rsidRDefault="00CD29BD" w:rsidP="003B2A79">
            <w:pPr>
              <w:rPr>
                <w:szCs w:val="22"/>
              </w:rPr>
            </w:pPr>
          </w:p>
        </w:tc>
        <w:tc>
          <w:tcPr>
            <w:tcW w:w="362" w:type="dxa"/>
            <w:shd w:val="clear" w:color="auto" w:fill="B4C6E7" w:themeFill="accent1" w:themeFillTint="66"/>
          </w:tcPr>
          <w:p w14:paraId="5B447F05" w14:textId="77777777" w:rsidR="00CD29BD" w:rsidRPr="004870C7" w:rsidRDefault="00CD29BD" w:rsidP="003B2A79">
            <w:pPr>
              <w:rPr>
                <w:szCs w:val="22"/>
              </w:rPr>
            </w:pPr>
          </w:p>
        </w:tc>
        <w:tc>
          <w:tcPr>
            <w:tcW w:w="362" w:type="dxa"/>
            <w:shd w:val="clear" w:color="auto" w:fill="B4C6E7" w:themeFill="accent1" w:themeFillTint="66"/>
          </w:tcPr>
          <w:p w14:paraId="6DC9CC63" w14:textId="77777777" w:rsidR="00CD29BD" w:rsidRPr="004870C7" w:rsidRDefault="00CD29BD" w:rsidP="003B2A79">
            <w:pPr>
              <w:rPr>
                <w:szCs w:val="22"/>
              </w:rPr>
            </w:pPr>
          </w:p>
        </w:tc>
        <w:tc>
          <w:tcPr>
            <w:tcW w:w="362" w:type="dxa"/>
            <w:shd w:val="clear" w:color="auto" w:fill="B4C6E7" w:themeFill="accent1" w:themeFillTint="66"/>
          </w:tcPr>
          <w:p w14:paraId="71B2EF8B" w14:textId="77777777" w:rsidR="00CD29BD" w:rsidRPr="004870C7" w:rsidRDefault="00CD29BD" w:rsidP="003B2A79">
            <w:pPr>
              <w:rPr>
                <w:szCs w:val="22"/>
              </w:rPr>
            </w:pPr>
          </w:p>
        </w:tc>
        <w:tc>
          <w:tcPr>
            <w:tcW w:w="362" w:type="dxa"/>
            <w:shd w:val="clear" w:color="auto" w:fill="B4C6E7" w:themeFill="accent1" w:themeFillTint="66"/>
          </w:tcPr>
          <w:p w14:paraId="789C91D1" w14:textId="77777777" w:rsidR="00CD29BD" w:rsidRPr="004870C7" w:rsidRDefault="00CD29BD" w:rsidP="003B2A79">
            <w:pPr>
              <w:rPr>
                <w:szCs w:val="22"/>
              </w:rPr>
            </w:pPr>
          </w:p>
        </w:tc>
        <w:tc>
          <w:tcPr>
            <w:tcW w:w="362" w:type="dxa"/>
            <w:shd w:val="clear" w:color="auto" w:fill="B4C6E7" w:themeFill="accent1" w:themeFillTint="66"/>
          </w:tcPr>
          <w:p w14:paraId="2992F58A" w14:textId="77777777" w:rsidR="00CD29BD" w:rsidRPr="004870C7" w:rsidRDefault="00CD29BD" w:rsidP="003B2A79">
            <w:pPr>
              <w:rPr>
                <w:szCs w:val="22"/>
              </w:rPr>
            </w:pPr>
          </w:p>
        </w:tc>
        <w:tc>
          <w:tcPr>
            <w:tcW w:w="362" w:type="dxa"/>
            <w:shd w:val="clear" w:color="auto" w:fill="auto"/>
          </w:tcPr>
          <w:p w14:paraId="05E2774B" w14:textId="77777777" w:rsidR="00CD29BD" w:rsidRPr="004870C7" w:rsidRDefault="00CD29BD" w:rsidP="003B2A79">
            <w:pPr>
              <w:rPr>
                <w:szCs w:val="22"/>
              </w:rPr>
            </w:pPr>
          </w:p>
        </w:tc>
        <w:tc>
          <w:tcPr>
            <w:tcW w:w="362" w:type="dxa"/>
            <w:shd w:val="clear" w:color="auto" w:fill="auto"/>
          </w:tcPr>
          <w:p w14:paraId="5C0728A6" w14:textId="77777777" w:rsidR="00CD29BD" w:rsidRPr="004870C7" w:rsidRDefault="00CD29BD" w:rsidP="003B2A79">
            <w:pPr>
              <w:rPr>
                <w:szCs w:val="22"/>
              </w:rPr>
            </w:pPr>
          </w:p>
        </w:tc>
        <w:tc>
          <w:tcPr>
            <w:tcW w:w="362" w:type="dxa"/>
            <w:shd w:val="clear" w:color="auto" w:fill="auto"/>
          </w:tcPr>
          <w:p w14:paraId="19AF4F2F" w14:textId="77777777" w:rsidR="00CD29BD" w:rsidRPr="004870C7" w:rsidRDefault="00CD29BD" w:rsidP="003B2A79">
            <w:pPr>
              <w:rPr>
                <w:szCs w:val="22"/>
              </w:rPr>
            </w:pPr>
          </w:p>
        </w:tc>
        <w:tc>
          <w:tcPr>
            <w:tcW w:w="362" w:type="dxa"/>
            <w:shd w:val="clear" w:color="auto" w:fill="auto"/>
          </w:tcPr>
          <w:p w14:paraId="757D809C" w14:textId="77777777" w:rsidR="00CD29BD" w:rsidRPr="004870C7" w:rsidRDefault="00CD29BD" w:rsidP="003B2A79">
            <w:pPr>
              <w:rPr>
                <w:szCs w:val="22"/>
              </w:rPr>
            </w:pPr>
          </w:p>
        </w:tc>
        <w:tc>
          <w:tcPr>
            <w:tcW w:w="362" w:type="dxa"/>
            <w:shd w:val="clear" w:color="auto" w:fill="auto"/>
          </w:tcPr>
          <w:p w14:paraId="6ABBC5E6" w14:textId="77777777" w:rsidR="00CD29BD" w:rsidRPr="004870C7" w:rsidRDefault="00CD29BD" w:rsidP="003B2A79">
            <w:pPr>
              <w:rPr>
                <w:szCs w:val="22"/>
              </w:rPr>
            </w:pPr>
          </w:p>
        </w:tc>
        <w:tc>
          <w:tcPr>
            <w:tcW w:w="362" w:type="dxa"/>
            <w:shd w:val="clear" w:color="auto" w:fill="auto"/>
          </w:tcPr>
          <w:p w14:paraId="40A3F1AE" w14:textId="77777777" w:rsidR="00CD29BD" w:rsidRPr="004870C7" w:rsidRDefault="00CD29BD" w:rsidP="003B2A79">
            <w:pPr>
              <w:rPr>
                <w:szCs w:val="22"/>
              </w:rPr>
            </w:pPr>
          </w:p>
        </w:tc>
        <w:tc>
          <w:tcPr>
            <w:tcW w:w="362" w:type="dxa"/>
            <w:shd w:val="clear" w:color="auto" w:fill="auto"/>
          </w:tcPr>
          <w:p w14:paraId="6C7B73FA" w14:textId="77777777" w:rsidR="00CD29BD" w:rsidRPr="004870C7" w:rsidRDefault="00CD29BD" w:rsidP="003B2A79">
            <w:pPr>
              <w:rPr>
                <w:szCs w:val="22"/>
              </w:rPr>
            </w:pPr>
          </w:p>
        </w:tc>
        <w:tc>
          <w:tcPr>
            <w:tcW w:w="362" w:type="dxa"/>
            <w:shd w:val="clear" w:color="auto" w:fill="auto"/>
          </w:tcPr>
          <w:p w14:paraId="571D40DE" w14:textId="77777777" w:rsidR="00CD29BD" w:rsidRPr="004870C7" w:rsidRDefault="00CD29BD" w:rsidP="003B2A79">
            <w:pPr>
              <w:rPr>
                <w:szCs w:val="22"/>
              </w:rPr>
            </w:pPr>
          </w:p>
        </w:tc>
      </w:tr>
      <w:tr w:rsidR="00CD29BD" w:rsidRPr="004870C7" w14:paraId="567E64B5" w14:textId="77777777" w:rsidTr="00D35B7F">
        <w:tc>
          <w:tcPr>
            <w:tcW w:w="809" w:type="dxa"/>
            <w:vMerge w:val="restart"/>
            <w:vAlign w:val="center"/>
          </w:tcPr>
          <w:p w14:paraId="785FF4BB" w14:textId="57BEC0D9" w:rsidR="00CD29BD" w:rsidRPr="004870C7" w:rsidRDefault="00CD29BD" w:rsidP="00983641">
            <w:pPr>
              <w:jc w:val="center"/>
              <w:rPr>
                <w:szCs w:val="22"/>
              </w:rPr>
            </w:pPr>
            <w:r w:rsidRPr="004870C7">
              <w:rPr>
                <w:szCs w:val="22"/>
              </w:rPr>
              <w:t>Component 5</w:t>
            </w:r>
          </w:p>
        </w:tc>
        <w:tc>
          <w:tcPr>
            <w:tcW w:w="739" w:type="dxa"/>
            <w:shd w:val="clear" w:color="auto" w:fill="auto"/>
            <w:vAlign w:val="center"/>
          </w:tcPr>
          <w:p w14:paraId="143C9921" w14:textId="574923B1" w:rsidR="00CD29BD" w:rsidRPr="004870C7" w:rsidRDefault="00CD29BD" w:rsidP="00CE078C">
            <w:pPr>
              <w:jc w:val="center"/>
              <w:rPr>
                <w:szCs w:val="22"/>
              </w:rPr>
            </w:pPr>
            <w:r w:rsidRPr="004870C7">
              <w:rPr>
                <w:szCs w:val="22"/>
              </w:rPr>
              <w:t>5.1</w:t>
            </w:r>
          </w:p>
        </w:tc>
        <w:tc>
          <w:tcPr>
            <w:tcW w:w="634" w:type="dxa"/>
          </w:tcPr>
          <w:p w14:paraId="73CB4FBE" w14:textId="2AC8CC94" w:rsidR="00CD29BD" w:rsidRPr="004870C7" w:rsidRDefault="00CD29BD" w:rsidP="003B2A79">
            <w:pPr>
              <w:rPr>
                <w:szCs w:val="22"/>
              </w:rPr>
            </w:pPr>
            <w:r w:rsidRPr="004870C7">
              <w:rPr>
                <w:szCs w:val="22"/>
              </w:rPr>
              <w:t>5.1.1</w:t>
            </w:r>
          </w:p>
        </w:tc>
        <w:tc>
          <w:tcPr>
            <w:tcW w:w="362" w:type="dxa"/>
            <w:shd w:val="clear" w:color="auto" w:fill="auto"/>
          </w:tcPr>
          <w:p w14:paraId="59BF142C" w14:textId="77777777" w:rsidR="00CD29BD" w:rsidRPr="004870C7" w:rsidRDefault="00CD29BD" w:rsidP="003B2A79">
            <w:pPr>
              <w:rPr>
                <w:szCs w:val="22"/>
              </w:rPr>
            </w:pPr>
          </w:p>
        </w:tc>
        <w:tc>
          <w:tcPr>
            <w:tcW w:w="362" w:type="dxa"/>
            <w:shd w:val="clear" w:color="auto" w:fill="auto"/>
          </w:tcPr>
          <w:p w14:paraId="1275C869" w14:textId="77777777" w:rsidR="00CD29BD" w:rsidRPr="004870C7" w:rsidRDefault="00CD29BD" w:rsidP="003B2A79">
            <w:pPr>
              <w:rPr>
                <w:szCs w:val="22"/>
              </w:rPr>
            </w:pPr>
          </w:p>
        </w:tc>
        <w:tc>
          <w:tcPr>
            <w:tcW w:w="362" w:type="dxa"/>
            <w:shd w:val="clear" w:color="auto" w:fill="auto"/>
          </w:tcPr>
          <w:p w14:paraId="4B961140" w14:textId="77777777" w:rsidR="00CD29BD" w:rsidRPr="004870C7" w:rsidRDefault="00CD29BD" w:rsidP="003B2A79">
            <w:pPr>
              <w:rPr>
                <w:szCs w:val="22"/>
              </w:rPr>
            </w:pPr>
          </w:p>
        </w:tc>
        <w:tc>
          <w:tcPr>
            <w:tcW w:w="362" w:type="dxa"/>
            <w:shd w:val="clear" w:color="auto" w:fill="auto"/>
          </w:tcPr>
          <w:p w14:paraId="5720AB6D" w14:textId="77777777" w:rsidR="00CD29BD" w:rsidRPr="004870C7" w:rsidRDefault="00CD29BD" w:rsidP="003B2A79">
            <w:pPr>
              <w:rPr>
                <w:szCs w:val="22"/>
              </w:rPr>
            </w:pPr>
          </w:p>
        </w:tc>
        <w:tc>
          <w:tcPr>
            <w:tcW w:w="362" w:type="dxa"/>
            <w:shd w:val="clear" w:color="auto" w:fill="auto"/>
          </w:tcPr>
          <w:p w14:paraId="1B5D5303" w14:textId="77777777" w:rsidR="00CD29BD" w:rsidRPr="004870C7" w:rsidRDefault="00CD29BD" w:rsidP="003B2A79">
            <w:pPr>
              <w:rPr>
                <w:szCs w:val="22"/>
              </w:rPr>
            </w:pPr>
          </w:p>
        </w:tc>
        <w:tc>
          <w:tcPr>
            <w:tcW w:w="362" w:type="dxa"/>
            <w:shd w:val="clear" w:color="auto" w:fill="auto"/>
          </w:tcPr>
          <w:p w14:paraId="66464878" w14:textId="77777777" w:rsidR="00CD29BD" w:rsidRPr="004870C7" w:rsidRDefault="00CD29BD" w:rsidP="003B2A79">
            <w:pPr>
              <w:rPr>
                <w:szCs w:val="22"/>
              </w:rPr>
            </w:pPr>
          </w:p>
        </w:tc>
        <w:tc>
          <w:tcPr>
            <w:tcW w:w="362" w:type="dxa"/>
            <w:shd w:val="clear" w:color="auto" w:fill="auto"/>
          </w:tcPr>
          <w:p w14:paraId="31570E25" w14:textId="77777777" w:rsidR="00CD29BD" w:rsidRPr="004870C7" w:rsidRDefault="00CD29BD" w:rsidP="003B2A79">
            <w:pPr>
              <w:rPr>
                <w:szCs w:val="22"/>
              </w:rPr>
            </w:pPr>
          </w:p>
        </w:tc>
        <w:tc>
          <w:tcPr>
            <w:tcW w:w="362" w:type="dxa"/>
            <w:shd w:val="clear" w:color="auto" w:fill="auto"/>
          </w:tcPr>
          <w:p w14:paraId="73C66027" w14:textId="77777777" w:rsidR="00CD29BD" w:rsidRPr="004870C7" w:rsidRDefault="00CD29BD" w:rsidP="003B2A79">
            <w:pPr>
              <w:rPr>
                <w:szCs w:val="22"/>
              </w:rPr>
            </w:pPr>
          </w:p>
        </w:tc>
        <w:tc>
          <w:tcPr>
            <w:tcW w:w="362" w:type="dxa"/>
            <w:shd w:val="clear" w:color="auto" w:fill="auto"/>
          </w:tcPr>
          <w:p w14:paraId="1C63B9A6" w14:textId="77777777" w:rsidR="00CD29BD" w:rsidRPr="004870C7" w:rsidRDefault="00CD29BD" w:rsidP="003B2A79">
            <w:pPr>
              <w:rPr>
                <w:szCs w:val="22"/>
              </w:rPr>
            </w:pPr>
          </w:p>
        </w:tc>
        <w:tc>
          <w:tcPr>
            <w:tcW w:w="362" w:type="dxa"/>
            <w:shd w:val="clear" w:color="auto" w:fill="auto"/>
          </w:tcPr>
          <w:p w14:paraId="38D5C3FC" w14:textId="77777777" w:rsidR="00CD29BD" w:rsidRPr="004870C7" w:rsidRDefault="00CD29BD" w:rsidP="003B2A79">
            <w:pPr>
              <w:rPr>
                <w:szCs w:val="22"/>
              </w:rPr>
            </w:pPr>
          </w:p>
        </w:tc>
        <w:tc>
          <w:tcPr>
            <w:tcW w:w="362" w:type="dxa"/>
            <w:shd w:val="clear" w:color="auto" w:fill="auto"/>
          </w:tcPr>
          <w:p w14:paraId="7BCC7A9A" w14:textId="77777777" w:rsidR="00CD29BD" w:rsidRPr="004870C7" w:rsidRDefault="00CD29BD" w:rsidP="003B2A79">
            <w:pPr>
              <w:rPr>
                <w:szCs w:val="22"/>
              </w:rPr>
            </w:pPr>
          </w:p>
        </w:tc>
        <w:tc>
          <w:tcPr>
            <w:tcW w:w="362" w:type="dxa"/>
            <w:shd w:val="clear" w:color="auto" w:fill="auto"/>
          </w:tcPr>
          <w:p w14:paraId="6E8860E6" w14:textId="77777777" w:rsidR="00CD29BD" w:rsidRPr="004870C7" w:rsidRDefault="00CD29BD" w:rsidP="003B2A79">
            <w:pPr>
              <w:rPr>
                <w:szCs w:val="22"/>
              </w:rPr>
            </w:pPr>
          </w:p>
        </w:tc>
        <w:tc>
          <w:tcPr>
            <w:tcW w:w="362" w:type="dxa"/>
            <w:shd w:val="clear" w:color="auto" w:fill="B4C6E7" w:themeFill="accent1" w:themeFillTint="66"/>
          </w:tcPr>
          <w:p w14:paraId="00FA5A9C" w14:textId="77777777" w:rsidR="00CD29BD" w:rsidRPr="004870C7" w:rsidRDefault="00CD29BD" w:rsidP="003B2A79">
            <w:pPr>
              <w:rPr>
                <w:szCs w:val="22"/>
              </w:rPr>
            </w:pPr>
          </w:p>
        </w:tc>
        <w:tc>
          <w:tcPr>
            <w:tcW w:w="362" w:type="dxa"/>
            <w:shd w:val="clear" w:color="auto" w:fill="B4C6E7" w:themeFill="accent1" w:themeFillTint="66"/>
          </w:tcPr>
          <w:p w14:paraId="1F72BA50" w14:textId="77777777" w:rsidR="00CD29BD" w:rsidRPr="004870C7" w:rsidRDefault="00CD29BD" w:rsidP="003B2A79">
            <w:pPr>
              <w:rPr>
                <w:szCs w:val="22"/>
              </w:rPr>
            </w:pPr>
          </w:p>
        </w:tc>
        <w:tc>
          <w:tcPr>
            <w:tcW w:w="362" w:type="dxa"/>
            <w:shd w:val="clear" w:color="auto" w:fill="B4C6E7" w:themeFill="accent1" w:themeFillTint="66"/>
          </w:tcPr>
          <w:p w14:paraId="0F6245EA" w14:textId="77777777" w:rsidR="00CD29BD" w:rsidRPr="004870C7" w:rsidRDefault="00CD29BD" w:rsidP="003B2A79">
            <w:pPr>
              <w:rPr>
                <w:szCs w:val="22"/>
              </w:rPr>
            </w:pPr>
          </w:p>
        </w:tc>
        <w:tc>
          <w:tcPr>
            <w:tcW w:w="362" w:type="dxa"/>
            <w:shd w:val="clear" w:color="auto" w:fill="B4C6E7" w:themeFill="accent1" w:themeFillTint="66"/>
          </w:tcPr>
          <w:p w14:paraId="4820DF7C" w14:textId="77777777" w:rsidR="00CD29BD" w:rsidRPr="004870C7" w:rsidRDefault="00CD29BD" w:rsidP="003B2A79">
            <w:pPr>
              <w:rPr>
                <w:szCs w:val="22"/>
              </w:rPr>
            </w:pPr>
          </w:p>
        </w:tc>
        <w:tc>
          <w:tcPr>
            <w:tcW w:w="362" w:type="dxa"/>
            <w:shd w:val="clear" w:color="auto" w:fill="B4C6E7" w:themeFill="accent1" w:themeFillTint="66"/>
          </w:tcPr>
          <w:p w14:paraId="302A8674" w14:textId="77777777" w:rsidR="00CD29BD" w:rsidRPr="004870C7" w:rsidRDefault="00CD29BD" w:rsidP="003B2A79">
            <w:pPr>
              <w:rPr>
                <w:szCs w:val="22"/>
              </w:rPr>
            </w:pPr>
          </w:p>
        </w:tc>
        <w:tc>
          <w:tcPr>
            <w:tcW w:w="362" w:type="dxa"/>
            <w:shd w:val="clear" w:color="auto" w:fill="auto"/>
          </w:tcPr>
          <w:p w14:paraId="6A74EF99" w14:textId="77777777" w:rsidR="00CD29BD" w:rsidRPr="004870C7" w:rsidRDefault="00CD29BD" w:rsidP="003B2A79">
            <w:pPr>
              <w:rPr>
                <w:szCs w:val="22"/>
              </w:rPr>
            </w:pPr>
          </w:p>
        </w:tc>
        <w:tc>
          <w:tcPr>
            <w:tcW w:w="362" w:type="dxa"/>
            <w:shd w:val="clear" w:color="auto" w:fill="auto"/>
          </w:tcPr>
          <w:p w14:paraId="2318AA28" w14:textId="77777777" w:rsidR="00CD29BD" w:rsidRPr="004870C7" w:rsidRDefault="00CD29BD" w:rsidP="003B2A79">
            <w:pPr>
              <w:rPr>
                <w:szCs w:val="22"/>
              </w:rPr>
            </w:pPr>
          </w:p>
        </w:tc>
        <w:tc>
          <w:tcPr>
            <w:tcW w:w="362" w:type="dxa"/>
            <w:shd w:val="clear" w:color="auto" w:fill="auto"/>
          </w:tcPr>
          <w:p w14:paraId="044497C0" w14:textId="77777777" w:rsidR="00CD29BD" w:rsidRPr="004870C7" w:rsidRDefault="00CD29BD" w:rsidP="003B2A79">
            <w:pPr>
              <w:rPr>
                <w:szCs w:val="22"/>
              </w:rPr>
            </w:pPr>
          </w:p>
        </w:tc>
      </w:tr>
      <w:tr w:rsidR="00CD29BD" w:rsidRPr="004870C7" w14:paraId="613C447B" w14:textId="77777777" w:rsidTr="00D35B7F">
        <w:tc>
          <w:tcPr>
            <w:tcW w:w="809" w:type="dxa"/>
            <w:vMerge/>
          </w:tcPr>
          <w:p w14:paraId="5F20FB02" w14:textId="77777777" w:rsidR="00CD29BD" w:rsidRPr="004870C7" w:rsidRDefault="00CD29BD" w:rsidP="003B2A79">
            <w:pPr>
              <w:rPr>
                <w:szCs w:val="22"/>
              </w:rPr>
            </w:pPr>
          </w:p>
        </w:tc>
        <w:tc>
          <w:tcPr>
            <w:tcW w:w="739" w:type="dxa"/>
            <w:shd w:val="clear" w:color="auto" w:fill="auto"/>
            <w:vAlign w:val="center"/>
          </w:tcPr>
          <w:p w14:paraId="0F4A545F" w14:textId="5D5EC245" w:rsidR="00CD29BD" w:rsidRPr="004870C7" w:rsidRDefault="00CD29BD" w:rsidP="00CE078C">
            <w:pPr>
              <w:jc w:val="center"/>
              <w:rPr>
                <w:szCs w:val="22"/>
              </w:rPr>
            </w:pPr>
            <w:r w:rsidRPr="004870C7">
              <w:rPr>
                <w:szCs w:val="22"/>
              </w:rPr>
              <w:t>5.2</w:t>
            </w:r>
          </w:p>
        </w:tc>
        <w:tc>
          <w:tcPr>
            <w:tcW w:w="634" w:type="dxa"/>
          </w:tcPr>
          <w:p w14:paraId="31936F6B" w14:textId="6998C527" w:rsidR="00CD29BD" w:rsidRPr="004870C7" w:rsidRDefault="00CD29BD" w:rsidP="003B2A79">
            <w:pPr>
              <w:rPr>
                <w:szCs w:val="22"/>
              </w:rPr>
            </w:pPr>
            <w:r w:rsidRPr="004870C7">
              <w:rPr>
                <w:szCs w:val="22"/>
              </w:rPr>
              <w:t>5.2.1</w:t>
            </w:r>
          </w:p>
        </w:tc>
        <w:tc>
          <w:tcPr>
            <w:tcW w:w="362" w:type="dxa"/>
            <w:shd w:val="clear" w:color="auto" w:fill="auto"/>
          </w:tcPr>
          <w:p w14:paraId="00262A7A" w14:textId="77777777" w:rsidR="00CD29BD" w:rsidRPr="004870C7" w:rsidRDefault="00CD29BD" w:rsidP="003B2A79">
            <w:pPr>
              <w:rPr>
                <w:szCs w:val="22"/>
              </w:rPr>
            </w:pPr>
          </w:p>
        </w:tc>
        <w:tc>
          <w:tcPr>
            <w:tcW w:w="362" w:type="dxa"/>
            <w:shd w:val="clear" w:color="auto" w:fill="auto"/>
          </w:tcPr>
          <w:p w14:paraId="53382C30" w14:textId="77777777" w:rsidR="00CD29BD" w:rsidRPr="004870C7" w:rsidRDefault="00CD29BD" w:rsidP="003B2A79">
            <w:pPr>
              <w:rPr>
                <w:szCs w:val="22"/>
              </w:rPr>
            </w:pPr>
          </w:p>
        </w:tc>
        <w:tc>
          <w:tcPr>
            <w:tcW w:w="362" w:type="dxa"/>
            <w:shd w:val="clear" w:color="auto" w:fill="auto"/>
          </w:tcPr>
          <w:p w14:paraId="2D040B2D" w14:textId="77777777" w:rsidR="00CD29BD" w:rsidRPr="004870C7" w:rsidRDefault="00CD29BD" w:rsidP="003B2A79">
            <w:pPr>
              <w:rPr>
                <w:szCs w:val="22"/>
              </w:rPr>
            </w:pPr>
          </w:p>
        </w:tc>
        <w:tc>
          <w:tcPr>
            <w:tcW w:w="362" w:type="dxa"/>
            <w:shd w:val="clear" w:color="auto" w:fill="auto"/>
          </w:tcPr>
          <w:p w14:paraId="0F2D8821" w14:textId="77777777" w:rsidR="00CD29BD" w:rsidRPr="004870C7" w:rsidRDefault="00CD29BD" w:rsidP="003B2A79">
            <w:pPr>
              <w:rPr>
                <w:szCs w:val="22"/>
              </w:rPr>
            </w:pPr>
          </w:p>
        </w:tc>
        <w:tc>
          <w:tcPr>
            <w:tcW w:w="362" w:type="dxa"/>
            <w:shd w:val="clear" w:color="auto" w:fill="auto"/>
          </w:tcPr>
          <w:p w14:paraId="60CC181A" w14:textId="77777777" w:rsidR="00CD29BD" w:rsidRPr="004870C7" w:rsidRDefault="00CD29BD" w:rsidP="003B2A79">
            <w:pPr>
              <w:rPr>
                <w:szCs w:val="22"/>
              </w:rPr>
            </w:pPr>
          </w:p>
        </w:tc>
        <w:tc>
          <w:tcPr>
            <w:tcW w:w="362" w:type="dxa"/>
            <w:shd w:val="clear" w:color="auto" w:fill="auto"/>
          </w:tcPr>
          <w:p w14:paraId="10C58D8B" w14:textId="77777777" w:rsidR="00CD29BD" w:rsidRPr="004870C7" w:rsidRDefault="00CD29BD" w:rsidP="003B2A79">
            <w:pPr>
              <w:rPr>
                <w:szCs w:val="22"/>
              </w:rPr>
            </w:pPr>
          </w:p>
        </w:tc>
        <w:tc>
          <w:tcPr>
            <w:tcW w:w="362" w:type="dxa"/>
            <w:shd w:val="clear" w:color="auto" w:fill="auto"/>
          </w:tcPr>
          <w:p w14:paraId="05D3B6C9" w14:textId="77777777" w:rsidR="00CD29BD" w:rsidRPr="004870C7" w:rsidRDefault="00CD29BD" w:rsidP="003B2A79">
            <w:pPr>
              <w:rPr>
                <w:szCs w:val="22"/>
              </w:rPr>
            </w:pPr>
          </w:p>
        </w:tc>
        <w:tc>
          <w:tcPr>
            <w:tcW w:w="362" w:type="dxa"/>
            <w:shd w:val="clear" w:color="auto" w:fill="auto"/>
          </w:tcPr>
          <w:p w14:paraId="2617F3B8" w14:textId="77777777" w:rsidR="00CD29BD" w:rsidRPr="004870C7" w:rsidRDefault="00CD29BD" w:rsidP="003B2A79">
            <w:pPr>
              <w:rPr>
                <w:szCs w:val="22"/>
              </w:rPr>
            </w:pPr>
          </w:p>
        </w:tc>
        <w:tc>
          <w:tcPr>
            <w:tcW w:w="362" w:type="dxa"/>
            <w:shd w:val="clear" w:color="auto" w:fill="auto"/>
          </w:tcPr>
          <w:p w14:paraId="7FEDA43E" w14:textId="77777777" w:rsidR="00CD29BD" w:rsidRPr="004870C7" w:rsidRDefault="00CD29BD" w:rsidP="003B2A79">
            <w:pPr>
              <w:rPr>
                <w:szCs w:val="22"/>
              </w:rPr>
            </w:pPr>
          </w:p>
        </w:tc>
        <w:tc>
          <w:tcPr>
            <w:tcW w:w="362" w:type="dxa"/>
            <w:shd w:val="clear" w:color="auto" w:fill="auto"/>
          </w:tcPr>
          <w:p w14:paraId="5AC2ECE3" w14:textId="77777777" w:rsidR="00CD29BD" w:rsidRPr="004870C7" w:rsidRDefault="00CD29BD" w:rsidP="003B2A79">
            <w:pPr>
              <w:rPr>
                <w:szCs w:val="22"/>
              </w:rPr>
            </w:pPr>
          </w:p>
        </w:tc>
        <w:tc>
          <w:tcPr>
            <w:tcW w:w="362" w:type="dxa"/>
            <w:shd w:val="clear" w:color="auto" w:fill="auto"/>
          </w:tcPr>
          <w:p w14:paraId="03069ECE" w14:textId="77777777" w:rsidR="00CD29BD" w:rsidRPr="004870C7" w:rsidRDefault="00CD29BD" w:rsidP="003B2A79">
            <w:pPr>
              <w:rPr>
                <w:szCs w:val="22"/>
              </w:rPr>
            </w:pPr>
          </w:p>
        </w:tc>
        <w:tc>
          <w:tcPr>
            <w:tcW w:w="362" w:type="dxa"/>
            <w:shd w:val="clear" w:color="auto" w:fill="auto"/>
          </w:tcPr>
          <w:p w14:paraId="3006EC40" w14:textId="77777777" w:rsidR="00CD29BD" w:rsidRPr="004870C7" w:rsidRDefault="00CD29BD" w:rsidP="003B2A79">
            <w:pPr>
              <w:rPr>
                <w:szCs w:val="22"/>
              </w:rPr>
            </w:pPr>
          </w:p>
        </w:tc>
        <w:tc>
          <w:tcPr>
            <w:tcW w:w="362" w:type="dxa"/>
            <w:shd w:val="clear" w:color="auto" w:fill="B4C6E7" w:themeFill="accent1" w:themeFillTint="66"/>
          </w:tcPr>
          <w:p w14:paraId="14A21B90" w14:textId="77777777" w:rsidR="00CD29BD" w:rsidRPr="004870C7" w:rsidRDefault="00CD29BD" w:rsidP="003B2A79">
            <w:pPr>
              <w:rPr>
                <w:szCs w:val="22"/>
              </w:rPr>
            </w:pPr>
          </w:p>
        </w:tc>
        <w:tc>
          <w:tcPr>
            <w:tcW w:w="362" w:type="dxa"/>
            <w:shd w:val="clear" w:color="auto" w:fill="B4C6E7" w:themeFill="accent1" w:themeFillTint="66"/>
          </w:tcPr>
          <w:p w14:paraId="2A08124B" w14:textId="77777777" w:rsidR="00CD29BD" w:rsidRPr="004870C7" w:rsidRDefault="00CD29BD" w:rsidP="003B2A79">
            <w:pPr>
              <w:rPr>
                <w:szCs w:val="22"/>
              </w:rPr>
            </w:pPr>
          </w:p>
        </w:tc>
        <w:tc>
          <w:tcPr>
            <w:tcW w:w="362" w:type="dxa"/>
            <w:shd w:val="clear" w:color="auto" w:fill="B4C6E7" w:themeFill="accent1" w:themeFillTint="66"/>
          </w:tcPr>
          <w:p w14:paraId="12B29CD1" w14:textId="77777777" w:rsidR="00CD29BD" w:rsidRPr="004870C7" w:rsidRDefault="00CD29BD" w:rsidP="003B2A79">
            <w:pPr>
              <w:rPr>
                <w:szCs w:val="22"/>
              </w:rPr>
            </w:pPr>
          </w:p>
        </w:tc>
        <w:tc>
          <w:tcPr>
            <w:tcW w:w="362" w:type="dxa"/>
            <w:shd w:val="clear" w:color="auto" w:fill="B4C6E7" w:themeFill="accent1" w:themeFillTint="66"/>
          </w:tcPr>
          <w:p w14:paraId="6936C209" w14:textId="77777777" w:rsidR="00CD29BD" w:rsidRPr="004870C7" w:rsidRDefault="00CD29BD" w:rsidP="003B2A79">
            <w:pPr>
              <w:rPr>
                <w:szCs w:val="22"/>
              </w:rPr>
            </w:pPr>
          </w:p>
        </w:tc>
        <w:tc>
          <w:tcPr>
            <w:tcW w:w="362" w:type="dxa"/>
            <w:shd w:val="clear" w:color="auto" w:fill="B4C6E7" w:themeFill="accent1" w:themeFillTint="66"/>
          </w:tcPr>
          <w:p w14:paraId="74BEB160" w14:textId="77777777" w:rsidR="00CD29BD" w:rsidRPr="004870C7" w:rsidRDefault="00CD29BD" w:rsidP="003B2A79">
            <w:pPr>
              <w:rPr>
                <w:szCs w:val="22"/>
              </w:rPr>
            </w:pPr>
          </w:p>
        </w:tc>
        <w:tc>
          <w:tcPr>
            <w:tcW w:w="362" w:type="dxa"/>
            <w:shd w:val="clear" w:color="auto" w:fill="auto"/>
          </w:tcPr>
          <w:p w14:paraId="52A7B579" w14:textId="77777777" w:rsidR="00CD29BD" w:rsidRPr="004870C7" w:rsidRDefault="00CD29BD" w:rsidP="003B2A79">
            <w:pPr>
              <w:rPr>
                <w:szCs w:val="22"/>
              </w:rPr>
            </w:pPr>
          </w:p>
        </w:tc>
        <w:tc>
          <w:tcPr>
            <w:tcW w:w="362" w:type="dxa"/>
            <w:shd w:val="clear" w:color="auto" w:fill="auto"/>
          </w:tcPr>
          <w:p w14:paraId="06E9B7B4" w14:textId="77777777" w:rsidR="00CD29BD" w:rsidRPr="004870C7" w:rsidRDefault="00CD29BD" w:rsidP="003B2A79">
            <w:pPr>
              <w:rPr>
                <w:szCs w:val="22"/>
              </w:rPr>
            </w:pPr>
          </w:p>
        </w:tc>
        <w:tc>
          <w:tcPr>
            <w:tcW w:w="362" w:type="dxa"/>
            <w:shd w:val="clear" w:color="auto" w:fill="auto"/>
          </w:tcPr>
          <w:p w14:paraId="4F393893" w14:textId="77777777" w:rsidR="00CD29BD" w:rsidRPr="004870C7" w:rsidRDefault="00CD29BD" w:rsidP="003B2A79">
            <w:pPr>
              <w:rPr>
                <w:szCs w:val="22"/>
              </w:rPr>
            </w:pPr>
          </w:p>
        </w:tc>
      </w:tr>
      <w:tr w:rsidR="00CD29BD" w:rsidRPr="004870C7" w14:paraId="55333F39" w14:textId="77777777" w:rsidTr="00D35B7F">
        <w:tc>
          <w:tcPr>
            <w:tcW w:w="809" w:type="dxa"/>
            <w:vMerge/>
          </w:tcPr>
          <w:p w14:paraId="7D8BE98B" w14:textId="77777777" w:rsidR="00CD29BD" w:rsidRPr="004870C7" w:rsidRDefault="00CD29BD" w:rsidP="003B2A79">
            <w:pPr>
              <w:rPr>
                <w:szCs w:val="22"/>
              </w:rPr>
            </w:pPr>
          </w:p>
        </w:tc>
        <w:tc>
          <w:tcPr>
            <w:tcW w:w="739" w:type="dxa"/>
            <w:vMerge w:val="restart"/>
            <w:shd w:val="clear" w:color="auto" w:fill="auto"/>
            <w:vAlign w:val="center"/>
          </w:tcPr>
          <w:p w14:paraId="7B8B67F0" w14:textId="712CB3AB" w:rsidR="00CD29BD" w:rsidRPr="004870C7" w:rsidRDefault="00CD29BD" w:rsidP="00CE078C">
            <w:pPr>
              <w:jc w:val="center"/>
              <w:rPr>
                <w:szCs w:val="22"/>
              </w:rPr>
            </w:pPr>
            <w:r w:rsidRPr="004870C7">
              <w:rPr>
                <w:szCs w:val="22"/>
              </w:rPr>
              <w:t>5.3</w:t>
            </w:r>
          </w:p>
        </w:tc>
        <w:tc>
          <w:tcPr>
            <w:tcW w:w="634" w:type="dxa"/>
          </w:tcPr>
          <w:p w14:paraId="2E1F5880" w14:textId="76D97D71" w:rsidR="00CD29BD" w:rsidRPr="004870C7" w:rsidRDefault="00CD29BD" w:rsidP="003B2A79">
            <w:pPr>
              <w:rPr>
                <w:szCs w:val="22"/>
              </w:rPr>
            </w:pPr>
            <w:r w:rsidRPr="004870C7">
              <w:rPr>
                <w:szCs w:val="22"/>
              </w:rPr>
              <w:t>5.3.1</w:t>
            </w:r>
          </w:p>
        </w:tc>
        <w:tc>
          <w:tcPr>
            <w:tcW w:w="362" w:type="dxa"/>
            <w:shd w:val="clear" w:color="auto" w:fill="auto"/>
          </w:tcPr>
          <w:p w14:paraId="0392F926" w14:textId="77777777" w:rsidR="00CD29BD" w:rsidRPr="004870C7" w:rsidRDefault="00CD29BD" w:rsidP="003B2A79">
            <w:pPr>
              <w:rPr>
                <w:szCs w:val="22"/>
              </w:rPr>
            </w:pPr>
          </w:p>
        </w:tc>
        <w:tc>
          <w:tcPr>
            <w:tcW w:w="362" w:type="dxa"/>
            <w:shd w:val="clear" w:color="auto" w:fill="auto"/>
          </w:tcPr>
          <w:p w14:paraId="386CE7B2" w14:textId="77777777" w:rsidR="00CD29BD" w:rsidRPr="004870C7" w:rsidRDefault="00CD29BD" w:rsidP="003B2A79">
            <w:pPr>
              <w:rPr>
                <w:szCs w:val="22"/>
              </w:rPr>
            </w:pPr>
          </w:p>
        </w:tc>
        <w:tc>
          <w:tcPr>
            <w:tcW w:w="362" w:type="dxa"/>
            <w:shd w:val="clear" w:color="auto" w:fill="auto"/>
          </w:tcPr>
          <w:p w14:paraId="450156AE" w14:textId="77777777" w:rsidR="00CD29BD" w:rsidRPr="004870C7" w:rsidRDefault="00CD29BD" w:rsidP="003B2A79">
            <w:pPr>
              <w:rPr>
                <w:szCs w:val="22"/>
              </w:rPr>
            </w:pPr>
          </w:p>
        </w:tc>
        <w:tc>
          <w:tcPr>
            <w:tcW w:w="362" w:type="dxa"/>
            <w:shd w:val="clear" w:color="auto" w:fill="auto"/>
          </w:tcPr>
          <w:p w14:paraId="5F6721D5" w14:textId="77777777" w:rsidR="00CD29BD" w:rsidRPr="004870C7" w:rsidRDefault="00CD29BD" w:rsidP="003B2A79">
            <w:pPr>
              <w:rPr>
                <w:szCs w:val="22"/>
              </w:rPr>
            </w:pPr>
          </w:p>
        </w:tc>
        <w:tc>
          <w:tcPr>
            <w:tcW w:w="362" w:type="dxa"/>
            <w:shd w:val="clear" w:color="auto" w:fill="auto"/>
          </w:tcPr>
          <w:p w14:paraId="1289D34E" w14:textId="77777777" w:rsidR="00CD29BD" w:rsidRPr="004870C7" w:rsidRDefault="00CD29BD" w:rsidP="003B2A79">
            <w:pPr>
              <w:rPr>
                <w:szCs w:val="22"/>
              </w:rPr>
            </w:pPr>
          </w:p>
        </w:tc>
        <w:tc>
          <w:tcPr>
            <w:tcW w:w="362" w:type="dxa"/>
            <w:shd w:val="clear" w:color="auto" w:fill="auto"/>
          </w:tcPr>
          <w:p w14:paraId="4C7C1287" w14:textId="77777777" w:rsidR="00CD29BD" w:rsidRPr="004870C7" w:rsidRDefault="00CD29BD" w:rsidP="003B2A79">
            <w:pPr>
              <w:rPr>
                <w:szCs w:val="22"/>
              </w:rPr>
            </w:pPr>
          </w:p>
        </w:tc>
        <w:tc>
          <w:tcPr>
            <w:tcW w:w="362" w:type="dxa"/>
            <w:shd w:val="clear" w:color="auto" w:fill="auto"/>
          </w:tcPr>
          <w:p w14:paraId="4EDFB1EA" w14:textId="77777777" w:rsidR="00CD29BD" w:rsidRPr="004870C7" w:rsidRDefault="00CD29BD" w:rsidP="003B2A79">
            <w:pPr>
              <w:rPr>
                <w:szCs w:val="22"/>
              </w:rPr>
            </w:pPr>
          </w:p>
        </w:tc>
        <w:tc>
          <w:tcPr>
            <w:tcW w:w="362" w:type="dxa"/>
            <w:shd w:val="clear" w:color="auto" w:fill="auto"/>
          </w:tcPr>
          <w:p w14:paraId="76B934EC" w14:textId="77777777" w:rsidR="00CD29BD" w:rsidRPr="004870C7" w:rsidRDefault="00CD29BD" w:rsidP="003B2A79">
            <w:pPr>
              <w:rPr>
                <w:szCs w:val="22"/>
              </w:rPr>
            </w:pPr>
          </w:p>
        </w:tc>
        <w:tc>
          <w:tcPr>
            <w:tcW w:w="362" w:type="dxa"/>
            <w:shd w:val="clear" w:color="auto" w:fill="auto"/>
          </w:tcPr>
          <w:p w14:paraId="3A30368C" w14:textId="77777777" w:rsidR="00CD29BD" w:rsidRPr="004870C7" w:rsidRDefault="00CD29BD" w:rsidP="003B2A79">
            <w:pPr>
              <w:rPr>
                <w:szCs w:val="22"/>
              </w:rPr>
            </w:pPr>
          </w:p>
        </w:tc>
        <w:tc>
          <w:tcPr>
            <w:tcW w:w="362" w:type="dxa"/>
            <w:shd w:val="clear" w:color="auto" w:fill="auto"/>
          </w:tcPr>
          <w:p w14:paraId="66A97997" w14:textId="77777777" w:rsidR="00CD29BD" w:rsidRPr="004870C7" w:rsidRDefault="00CD29BD" w:rsidP="003B2A79">
            <w:pPr>
              <w:rPr>
                <w:szCs w:val="22"/>
              </w:rPr>
            </w:pPr>
          </w:p>
        </w:tc>
        <w:tc>
          <w:tcPr>
            <w:tcW w:w="362" w:type="dxa"/>
            <w:shd w:val="clear" w:color="auto" w:fill="auto"/>
          </w:tcPr>
          <w:p w14:paraId="0EAA82CE" w14:textId="77777777" w:rsidR="00CD29BD" w:rsidRPr="004870C7" w:rsidRDefault="00CD29BD" w:rsidP="003B2A79">
            <w:pPr>
              <w:rPr>
                <w:szCs w:val="22"/>
              </w:rPr>
            </w:pPr>
          </w:p>
        </w:tc>
        <w:tc>
          <w:tcPr>
            <w:tcW w:w="362" w:type="dxa"/>
            <w:shd w:val="clear" w:color="auto" w:fill="auto"/>
          </w:tcPr>
          <w:p w14:paraId="3E68D05C" w14:textId="77777777" w:rsidR="00CD29BD" w:rsidRPr="004870C7" w:rsidRDefault="00CD29BD" w:rsidP="003B2A79">
            <w:pPr>
              <w:rPr>
                <w:szCs w:val="22"/>
              </w:rPr>
            </w:pPr>
          </w:p>
        </w:tc>
        <w:tc>
          <w:tcPr>
            <w:tcW w:w="362" w:type="dxa"/>
            <w:shd w:val="clear" w:color="auto" w:fill="B4C6E7" w:themeFill="accent1" w:themeFillTint="66"/>
          </w:tcPr>
          <w:p w14:paraId="560E23C0" w14:textId="77777777" w:rsidR="00CD29BD" w:rsidRPr="004870C7" w:rsidRDefault="00CD29BD" w:rsidP="003B2A79">
            <w:pPr>
              <w:rPr>
                <w:szCs w:val="22"/>
              </w:rPr>
            </w:pPr>
          </w:p>
        </w:tc>
        <w:tc>
          <w:tcPr>
            <w:tcW w:w="362" w:type="dxa"/>
            <w:shd w:val="clear" w:color="auto" w:fill="B4C6E7" w:themeFill="accent1" w:themeFillTint="66"/>
          </w:tcPr>
          <w:p w14:paraId="777E5DC7" w14:textId="77777777" w:rsidR="00CD29BD" w:rsidRPr="004870C7" w:rsidRDefault="00CD29BD" w:rsidP="003B2A79">
            <w:pPr>
              <w:rPr>
                <w:szCs w:val="22"/>
              </w:rPr>
            </w:pPr>
          </w:p>
        </w:tc>
        <w:tc>
          <w:tcPr>
            <w:tcW w:w="362" w:type="dxa"/>
            <w:shd w:val="clear" w:color="auto" w:fill="B4C6E7" w:themeFill="accent1" w:themeFillTint="66"/>
          </w:tcPr>
          <w:p w14:paraId="45E0A41D" w14:textId="77777777" w:rsidR="00CD29BD" w:rsidRPr="004870C7" w:rsidRDefault="00CD29BD" w:rsidP="003B2A79">
            <w:pPr>
              <w:rPr>
                <w:szCs w:val="22"/>
              </w:rPr>
            </w:pPr>
          </w:p>
        </w:tc>
        <w:tc>
          <w:tcPr>
            <w:tcW w:w="362" w:type="dxa"/>
            <w:shd w:val="clear" w:color="auto" w:fill="B4C6E7" w:themeFill="accent1" w:themeFillTint="66"/>
          </w:tcPr>
          <w:p w14:paraId="5604BA16" w14:textId="77777777" w:rsidR="00CD29BD" w:rsidRPr="004870C7" w:rsidRDefault="00CD29BD" w:rsidP="003B2A79">
            <w:pPr>
              <w:rPr>
                <w:szCs w:val="22"/>
              </w:rPr>
            </w:pPr>
          </w:p>
        </w:tc>
        <w:tc>
          <w:tcPr>
            <w:tcW w:w="362" w:type="dxa"/>
            <w:shd w:val="clear" w:color="auto" w:fill="B4C6E7" w:themeFill="accent1" w:themeFillTint="66"/>
          </w:tcPr>
          <w:p w14:paraId="0E63B7C2" w14:textId="77777777" w:rsidR="00CD29BD" w:rsidRPr="004870C7" w:rsidRDefault="00CD29BD" w:rsidP="003B2A79">
            <w:pPr>
              <w:rPr>
                <w:szCs w:val="22"/>
              </w:rPr>
            </w:pPr>
          </w:p>
        </w:tc>
        <w:tc>
          <w:tcPr>
            <w:tcW w:w="362" w:type="dxa"/>
            <w:shd w:val="clear" w:color="auto" w:fill="auto"/>
          </w:tcPr>
          <w:p w14:paraId="228D582F" w14:textId="77777777" w:rsidR="00CD29BD" w:rsidRPr="004870C7" w:rsidRDefault="00CD29BD" w:rsidP="003B2A79">
            <w:pPr>
              <w:rPr>
                <w:szCs w:val="22"/>
              </w:rPr>
            </w:pPr>
          </w:p>
        </w:tc>
        <w:tc>
          <w:tcPr>
            <w:tcW w:w="362" w:type="dxa"/>
            <w:shd w:val="clear" w:color="auto" w:fill="auto"/>
          </w:tcPr>
          <w:p w14:paraId="237CBA39" w14:textId="77777777" w:rsidR="00CD29BD" w:rsidRPr="004870C7" w:rsidRDefault="00CD29BD" w:rsidP="003B2A79">
            <w:pPr>
              <w:rPr>
                <w:szCs w:val="22"/>
              </w:rPr>
            </w:pPr>
          </w:p>
        </w:tc>
        <w:tc>
          <w:tcPr>
            <w:tcW w:w="362" w:type="dxa"/>
            <w:shd w:val="clear" w:color="auto" w:fill="auto"/>
          </w:tcPr>
          <w:p w14:paraId="0300EA90" w14:textId="77777777" w:rsidR="00CD29BD" w:rsidRPr="004870C7" w:rsidRDefault="00CD29BD" w:rsidP="003B2A79">
            <w:pPr>
              <w:rPr>
                <w:szCs w:val="22"/>
              </w:rPr>
            </w:pPr>
          </w:p>
        </w:tc>
      </w:tr>
      <w:tr w:rsidR="00CD29BD" w:rsidRPr="004870C7" w14:paraId="68799A64" w14:textId="77777777" w:rsidTr="00D35B7F">
        <w:tc>
          <w:tcPr>
            <w:tcW w:w="809" w:type="dxa"/>
            <w:vMerge/>
          </w:tcPr>
          <w:p w14:paraId="03C4ED3A" w14:textId="77777777" w:rsidR="00CD29BD" w:rsidRPr="004870C7" w:rsidRDefault="00CD29BD" w:rsidP="003B2A79">
            <w:pPr>
              <w:rPr>
                <w:szCs w:val="22"/>
              </w:rPr>
            </w:pPr>
          </w:p>
        </w:tc>
        <w:tc>
          <w:tcPr>
            <w:tcW w:w="739" w:type="dxa"/>
            <w:vMerge/>
            <w:shd w:val="clear" w:color="auto" w:fill="auto"/>
            <w:vAlign w:val="center"/>
          </w:tcPr>
          <w:p w14:paraId="34CD6D23" w14:textId="77777777" w:rsidR="00CD29BD" w:rsidRPr="004870C7" w:rsidRDefault="00CD29BD" w:rsidP="00CE078C">
            <w:pPr>
              <w:jc w:val="center"/>
              <w:rPr>
                <w:szCs w:val="22"/>
              </w:rPr>
            </w:pPr>
          </w:p>
        </w:tc>
        <w:tc>
          <w:tcPr>
            <w:tcW w:w="634" w:type="dxa"/>
          </w:tcPr>
          <w:p w14:paraId="47E0B1DA" w14:textId="10631B44" w:rsidR="00CD29BD" w:rsidRPr="004870C7" w:rsidRDefault="00CD29BD" w:rsidP="003B2A79">
            <w:pPr>
              <w:rPr>
                <w:szCs w:val="22"/>
              </w:rPr>
            </w:pPr>
            <w:r w:rsidRPr="004870C7">
              <w:rPr>
                <w:szCs w:val="22"/>
              </w:rPr>
              <w:t>5.3.2</w:t>
            </w:r>
          </w:p>
        </w:tc>
        <w:tc>
          <w:tcPr>
            <w:tcW w:w="362" w:type="dxa"/>
            <w:shd w:val="clear" w:color="auto" w:fill="auto"/>
          </w:tcPr>
          <w:p w14:paraId="1213E5BE" w14:textId="77777777" w:rsidR="00CD29BD" w:rsidRPr="004870C7" w:rsidRDefault="00CD29BD" w:rsidP="003B2A79">
            <w:pPr>
              <w:rPr>
                <w:szCs w:val="22"/>
              </w:rPr>
            </w:pPr>
          </w:p>
        </w:tc>
        <w:tc>
          <w:tcPr>
            <w:tcW w:w="362" w:type="dxa"/>
            <w:shd w:val="clear" w:color="auto" w:fill="auto"/>
          </w:tcPr>
          <w:p w14:paraId="206172EE" w14:textId="77777777" w:rsidR="00CD29BD" w:rsidRPr="004870C7" w:rsidRDefault="00CD29BD" w:rsidP="003B2A79">
            <w:pPr>
              <w:rPr>
                <w:szCs w:val="22"/>
              </w:rPr>
            </w:pPr>
          </w:p>
        </w:tc>
        <w:tc>
          <w:tcPr>
            <w:tcW w:w="362" w:type="dxa"/>
            <w:shd w:val="clear" w:color="auto" w:fill="auto"/>
          </w:tcPr>
          <w:p w14:paraId="5582E42F" w14:textId="77777777" w:rsidR="00CD29BD" w:rsidRPr="004870C7" w:rsidRDefault="00CD29BD" w:rsidP="003B2A79">
            <w:pPr>
              <w:rPr>
                <w:szCs w:val="22"/>
              </w:rPr>
            </w:pPr>
          </w:p>
        </w:tc>
        <w:tc>
          <w:tcPr>
            <w:tcW w:w="362" w:type="dxa"/>
            <w:shd w:val="clear" w:color="auto" w:fill="auto"/>
          </w:tcPr>
          <w:p w14:paraId="1978C31B" w14:textId="77777777" w:rsidR="00CD29BD" w:rsidRPr="004870C7" w:rsidRDefault="00CD29BD" w:rsidP="003B2A79">
            <w:pPr>
              <w:rPr>
                <w:szCs w:val="22"/>
              </w:rPr>
            </w:pPr>
          </w:p>
        </w:tc>
        <w:tc>
          <w:tcPr>
            <w:tcW w:w="362" w:type="dxa"/>
            <w:shd w:val="clear" w:color="auto" w:fill="auto"/>
          </w:tcPr>
          <w:p w14:paraId="48E1A917" w14:textId="77777777" w:rsidR="00CD29BD" w:rsidRPr="004870C7" w:rsidRDefault="00CD29BD" w:rsidP="003B2A79">
            <w:pPr>
              <w:rPr>
                <w:szCs w:val="22"/>
              </w:rPr>
            </w:pPr>
          </w:p>
        </w:tc>
        <w:tc>
          <w:tcPr>
            <w:tcW w:w="362" w:type="dxa"/>
            <w:shd w:val="clear" w:color="auto" w:fill="auto"/>
          </w:tcPr>
          <w:p w14:paraId="1420BFBC" w14:textId="77777777" w:rsidR="00CD29BD" w:rsidRPr="004870C7" w:rsidRDefault="00CD29BD" w:rsidP="003B2A79">
            <w:pPr>
              <w:rPr>
                <w:szCs w:val="22"/>
              </w:rPr>
            </w:pPr>
          </w:p>
        </w:tc>
        <w:tc>
          <w:tcPr>
            <w:tcW w:w="362" w:type="dxa"/>
            <w:shd w:val="clear" w:color="auto" w:fill="auto"/>
          </w:tcPr>
          <w:p w14:paraId="476843BF" w14:textId="77777777" w:rsidR="00CD29BD" w:rsidRPr="004870C7" w:rsidRDefault="00CD29BD" w:rsidP="003B2A79">
            <w:pPr>
              <w:rPr>
                <w:szCs w:val="22"/>
              </w:rPr>
            </w:pPr>
          </w:p>
        </w:tc>
        <w:tc>
          <w:tcPr>
            <w:tcW w:w="362" w:type="dxa"/>
            <w:shd w:val="clear" w:color="auto" w:fill="auto"/>
          </w:tcPr>
          <w:p w14:paraId="05FBD5ED" w14:textId="77777777" w:rsidR="00CD29BD" w:rsidRPr="004870C7" w:rsidRDefault="00CD29BD" w:rsidP="003B2A79">
            <w:pPr>
              <w:rPr>
                <w:szCs w:val="22"/>
              </w:rPr>
            </w:pPr>
          </w:p>
        </w:tc>
        <w:tc>
          <w:tcPr>
            <w:tcW w:w="362" w:type="dxa"/>
            <w:shd w:val="clear" w:color="auto" w:fill="auto"/>
          </w:tcPr>
          <w:p w14:paraId="294A88EA" w14:textId="77777777" w:rsidR="00CD29BD" w:rsidRPr="004870C7" w:rsidRDefault="00CD29BD" w:rsidP="003B2A79">
            <w:pPr>
              <w:rPr>
                <w:szCs w:val="22"/>
              </w:rPr>
            </w:pPr>
          </w:p>
        </w:tc>
        <w:tc>
          <w:tcPr>
            <w:tcW w:w="362" w:type="dxa"/>
            <w:shd w:val="clear" w:color="auto" w:fill="auto"/>
          </w:tcPr>
          <w:p w14:paraId="2B734C1B" w14:textId="77777777" w:rsidR="00CD29BD" w:rsidRPr="004870C7" w:rsidRDefault="00CD29BD" w:rsidP="003B2A79">
            <w:pPr>
              <w:rPr>
                <w:szCs w:val="22"/>
              </w:rPr>
            </w:pPr>
          </w:p>
        </w:tc>
        <w:tc>
          <w:tcPr>
            <w:tcW w:w="362" w:type="dxa"/>
            <w:shd w:val="clear" w:color="auto" w:fill="auto"/>
          </w:tcPr>
          <w:p w14:paraId="013B6C26" w14:textId="77777777" w:rsidR="00CD29BD" w:rsidRPr="004870C7" w:rsidRDefault="00CD29BD" w:rsidP="003B2A79">
            <w:pPr>
              <w:rPr>
                <w:szCs w:val="22"/>
              </w:rPr>
            </w:pPr>
          </w:p>
        </w:tc>
        <w:tc>
          <w:tcPr>
            <w:tcW w:w="362" w:type="dxa"/>
            <w:shd w:val="clear" w:color="auto" w:fill="auto"/>
          </w:tcPr>
          <w:p w14:paraId="5FB09417" w14:textId="77777777" w:rsidR="00CD29BD" w:rsidRPr="004870C7" w:rsidRDefault="00CD29BD" w:rsidP="003B2A79">
            <w:pPr>
              <w:rPr>
                <w:szCs w:val="22"/>
              </w:rPr>
            </w:pPr>
          </w:p>
        </w:tc>
        <w:tc>
          <w:tcPr>
            <w:tcW w:w="362" w:type="dxa"/>
            <w:shd w:val="clear" w:color="auto" w:fill="B4C6E7" w:themeFill="accent1" w:themeFillTint="66"/>
          </w:tcPr>
          <w:p w14:paraId="142E2F98" w14:textId="77777777" w:rsidR="00CD29BD" w:rsidRPr="004870C7" w:rsidRDefault="00CD29BD" w:rsidP="003B2A79">
            <w:pPr>
              <w:rPr>
                <w:szCs w:val="22"/>
              </w:rPr>
            </w:pPr>
          </w:p>
        </w:tc>
        <w:tc>
          <w:tcPr>
            <w:tcW w:w="362" w:type="dxa"/>
            <w:shd w:val="clear" w:color="auto" w:fill="B4C6E7" w:themeFill="accent1" w:themeFillTint="66"/>
          </w:tcPr>
          <w:p w14:paraId="4AE4951D" w14:textId="77777777" w:rsidR="00CD29BD" w:rsidRPr="004870C7" w:rsidRDefault="00CD29BD" w:rsidP="003B2A79">
            <w:pPr>
              <w:rPr>
                <w:szCs w:val="22"/>
              </w:rPr>
            </w:pPr>
          </w:p>
        </w:tc>
        <w:tc>
          <w:tcPr>
            <w:tcW w:w="362" w:type="dxa"/>
            <w:shd w:val="clear" w:color="auto" w:fill="B4C6E7" w:themeFill="accent1" w:themeFillTint="66"/>
          </w:tcPr>
          <w:p w14:paraId="3E394A88" w14:textId="77777777" w:rsidR="00CD29BD" w:rsidRPr="004870C7" w:rsidRDefault="00CD29BD" w:rsidP="003B2A79">
            <w:pPr>
              <w:rPr>
                <w:szCs w:val="22"/>
              </w:rPr>
            </w:pPr>
          </w:p>
        </w:tc>
        <w:tc>
          <w:tcPr>
            <w:tcW w:w="362" w:type="dxa"/>
            <w:shd w:val="clear" w:color="auto" w:fill="B4C6E7" w:themeFill="accent1" w:themeFillTint="66"/>
          </w:tcPr>
          <w:p w14:paraId="36ED2ACF" w14:textId="77777777" w:rsidR="00CD29BD" w:rsidRPr="004870C7" w:rsidRDefault="00CD29BD" w:rsidP="003B2A79">
            <w:pPr>
              <w:rPr>
                <w:szCs w:val="22"/>
              </w:rPr>
            </w:pPr>
          </w:p>
        </w:tc>
        <w:tc>
          <w:tcPr>
            <w:tcW w:w="362" w:type="dxa"/>
            <w:shd w:val="clear" w:color="auto" w:fill="B4C6E7" w:themeFill="accent1" w:themeFillTint="66"/>
          </w:tcPr>
          <w:p w14:paraId="43901427" w14:textId="77777777" w:rsidR="00CD29BD" w:rsidRPr="004870C7" w:rsidRDefault="00CD29BD" w:rsidP="003B2A79">
            <w:pPr>
              <w:rPr>
                <w:szCs w:val="22"/>
              </w:rPr>
            </w:pPr>
          </w:p>
        </w:tc>
        <w:tc>
          <w:tcPr>
            <w:tcW w:w="362" w:type="dxa"/>
            <w:shd w:val="clear" w:color="auto" w:fill="auto"/>
          </w:tcPr>
          <w:p w14:paraId="0961E48D" w14:textId="77777777" w:rsidR="00CD29BD" w:rsidRPr="004870C7" w:rsidRDefault="00CD29BD" w:rsidP="003B2A79">
            <w:pPr>
              <w:rPr>
                <w:szCs w:val="22"/>
              </w:rPr>
            </w:pPr>
          </w:p>
        </w:tc>
        <w:tc>
          <w:tcPr>
            <w:tcW w:w="362" w:type="dxa"/>
            <w:shd w:val="clear" w:color="auto" w:fill="auto"/>
          </w:tcPr>
          <w:p w14:paraId="0B89BA89" w14:textId="77777777" w:rsidR="00CD29BD" w:rsidRPr="004870C7" w:rsidRDefault="00CD29BD" w:rsidP="003B2A79">
            <w:pPr>
              <w:rPr>
                <w:szCs w:val="22"/>
              </w:rPr>
            </w:pPr>
          </w:p>
        </w:tc>
        <w:tc>
          <w:tcPr>
            <w:tcW w:w="362" w:type="dxa"/>
            <w:shd w:val="clear" w:color="auto" w:fill="auto"/>
          </w:tcPr>
          <w:p w14:paraId="3DC5CDEC" w14:textId="77777777" w:rsidR="00CD29BD" w:rsidRPr="004870C7" w:rsidRDefault="00CD29BD" w:rsidP="003B2A79">
            <w:pPr>
              <w:rPr>
                <w:szCs w:val="22"/>
              </w:rPr>
            </w:pPr>
          </w:p>
        </w:tc>
      </w:tr>
      <w:tr w:rsidR="00CD29BD" w:rsidRPr="004870C7" w14:paraId="5A2EDEDB" w14:textId="77777777" w:rsidTr="00D35B7F">
        <w:tc>
          <w:tcPr>
            <w:tcW w:w="809" w:type="dxa"/>
            <w:vMerge/>
          </w:tcPr>
          <w:p w14:paraId="04BBF6D7" w14:textId="77777777" w:rsidR="00CD29BD" w:rsidRPr="004870C7" w:rsidRDefault="00CD29BD" w:rsidP="003B2A79">
            <w:pPr>
              <w:rPr>
                <w:szCs w:val="22"/>
              </w:rPr>
            </w:pPr>
          </w:p>
        </w:tc>
        <w:tc>
          <w:tcPr>
            <w:tcW w:w="739" w:type="dxa"/>
            <w:vMerge/>
            <w:shd w:val="clear" w:color="auto" w:fill="auto"/>
            <w:vAlign w:val="center"/>
          </w:tcPr>
          <w:p w14:paraId="39F95053" w14:textId="77777777" w:rsidR="00CD29BD" w:rsidRPr="004870C7" w:rsidRDefault="00CD29BD" w:rsidP="00CE078C">
            <w:pPr>
              <w:jc w:val="center"/>
              <w:rPr>
                <w:szCs w:val="22"/>
              </w:rPr>
            </w:pPr>
          </w:p>
        </w:tc>
        <w:tc>
          <w:tcPr>
            <w:tcW w:w="634" w:type="dxa"/>
          </w:tcPr>
          <w:p w14:paraId="2C8B5F2A" w14:textId="23196386" w:rsidR="00CD29BD" w:rsidRPr="004870C7" w:rsidRDefault="00CD29BD" w:rsidP="003B2A79">
            <w:pPr>
              <w:rPr>
                <w:szCs w:val="22"/>
              </w:rPr>
            </w:pPr>
            <w:r w:rsidRPr="004870C7">
              <w:rPr>
                <w:szCs w:val="22"/>
              </w:rPr>
              <w:t>5.3.3</w:t>
            </w:r>
          </w:p>
        </w:tc>
        <w:tc>
          <w:tcPr>
            <w:tcW w:w="362" w:type="dxa"/>
            <w:shd w:val="clear" w:color="auto" w:fill="auto"/>
          </w:tcPr>
          <w:p w14:paraId="79CE8E05" w14:textId="77777777" w:rsidR="00CD29BD" w:rsidRPr="004870C7" w:rsidRDefault="00CD29BD" w:rsidP="003B2A79">
            <w:pPr>
              <w:rPr>
                <w:szCs w:val="22"/>
              </w:rPr>
            </w:pPr>
          </w:p>
        </w:tc>
        <w:tc>
          <w:tcPr>
            <w:tcW w:w="362" w:type="dxa"/>
            <w:shd w:val="clear" w:color="auto" w:fill="auto"/>
          </w:tcPr>
          <w:p w14:paraId="042B45C3" w14:textId="77777777" w:rsidR="00CD29BD" w:rsidRPr="004870C7" w:rsidRDefault="00CD29BD" w:rsidP="003B2A79">
            <w:pPr>
              <w:rPr>
                <w:szCs w:val="22"/>
              </w:rPr>
            </w:pPr>
          </w:p>
        </w:tc>
        <w:tc>
          <w:tcPr>
            <w:tcW w:w="362" w:type="dxa"/>
            <w:shd w:val="clear" w:color="auto" w:fill="auto"/>
          </w:tcPr>
          <w:p w14:paraId="0B200BB5" w14:textId="77777777" w:rsidR="00CD29BD" w:rsidRPr="004870C7" w:rsidRDefault="00CD29BD" w:rsidP="003B2A79">
            <w:pPr>
              <w:rPr>
                <w:szCs w:val="22"/>
              </w:rPr>
            </w:pPr>
          </w:p>
        </w:tc>
        <w:tc>
          <w:tcPr>
            <w:tcW w:w="362" w:type="dxa"/>
            <w:shd w:val="clear" w:color="auto" w:fill="auto"/>
          </w:tcPr>
          <w:p w14:paraId="676DC544" w14:textId="77777777" w:rsidR="00CD29BD" w:rsidRPr="004870C7" w:rsidRDefault="00CD29BD" w:rsidP="003B2A79">
            <w:pPr>
              <w:rPr>
                <w:szCs w:val="22"/>
              </w:rPr>
            </w:pPr>
          </w:p>
        </w:tc>
        <w:tc>
          <w:tcPr>
            <w:tcW w:w="362" w:type="dxa"/>
            <w:shd w:val="clear" w:color="auto" w:fill="auto"/>
          </w:tcPr>
          <w:p w14:paraId="7935A97A" w14:textId="77777777" w:rsidR="00CD29BD" w:rsidRPr="004870C7" w:rsidRDefault="00CD29BD" w:rsidP="003B2A79">
            <w:pPr>
              <w:rPr>
                <w:szCs w:val="22"/>
              </w:rPr>
            </w:pPr>
          </w:p>
        </w:tc>
        <w:tc>
          <w:tcPr>
            <w:tcW w:w="362" w:type="dxa"/>
            <w:shd w:val="clear" w:color="auto" w:fill="auto"/>
          </w:tcPr>
          <w:p w14:paraId="1AB39D1E" w14:textId="77777777" w:rsidR="00CD29BD" w:rsidRPr="004870C7" w:rsidRDefault="00CD29BD" w:rsidP="003B2A79">
            <w:pPr>
              <w:rPr>
                <w:szCs w:val="22"/>
              </w:rPr>
            </w:pPr>
          </w:p>
        </w:tc>
        <w:tc>
          <w:tcPr>
            <w:tcW w:w="362" w:type="dxa"/>
            <w:shd w:val="clear" w:color="auto" w:fill="auto"/>
          </w:tcPr>
          <w:p w14:paraId="779F3BAC" w14:textId="77777777" w:rsidR="00CD29BD" w:rsidRPr="004870C7" w:rsidRDefault="00CD29BD" w:rsidP="003B2A79">
            <w:pPr>
              <w:rPr>
                <w:szCs w:val="22"/>
              </w:rPr>
            </w:pPr>
          </w:p>
        </w:tc>
        <w:tc>
          <w:tcPr>
            <w:tcW w:w="362" w:type="dxa"/>
            <w:shd w:val="clear" w:color="auto" w:fill="auto"/>
          </w:tcPr>
          <w:p w14:paraId="32C12308" w14:textId="77777777" w:rsidR="00CD29BD" w:rsidRPr="004870C7" w:rsidRDefault="00CD29BD" w:rsidP="003B2A79">
            <w:pPr>
              <w:rPr>
                <w:szCs w:val="22"/>
              </w:rPr>
            </w:pPr>
          </w:p>
        </w:tc>
        <w:tc>
          <w:tcPr>
            <w:tcW w:w="362" w:type="dxa"/>
            <w:shd w:val="clear" w:color="auto" w:fill="auto"/>
          </w:tcPr>
          <w:p w14:paraId="3669B2F6" w14:textId="77777777" w:rsidR="00CD29BD" w:rsidRPr="004870C7" w:rsidRDefault="00CD29BD" w:rsidP="003B2A79">
            <w:pPr>
              <w:rPr>
                <w:szCs w:val="22"/>
              </w:rPr>
            </w:pPr>
          </w:p>
        </w:tc>
        <w:tc>
          <w:tcPr>
            <w:tcW w:w="362" w:type="dxa"/>
            <w:shd w:val="clear" w:color="auto" w:fill="auto"/>
          </w:tcPr>
          <w:p w14:paraId="10036508" w14:textId="77777777" w:rsidR="00CD29BD" w:rsidRPr="004870C7" w:rsidRDefault="00CD29BD" w:rsidP="003B2A79">
            <w:pPr>
              <w:rPr>
                <w:szCs w:val="22"/>
              </w:rPr>
            </w:pPr>
          </w:p>
        </w:tc>
        <w:tc>
          <w:tcPr>
            <w:tcW w:w="362" w:type="dxa"/>
            <w:shd w:val="clear" w:color="auto" w:fill="auto"/>
          </w:tcPr>
          <w:p w14:paraId="6D479954" w14:textId="77777777" w:rsidR="00CD29BD" w:rsidRPr="004870C7" w:rsidRDefault="00CD29BD" w:rsidP="003B2A79">
            <w:pPr>
              <w:rPr>
                <w:szCs w:val="22"/>
              </w:rPr>
            </w:pPr>
          </w:p>
        </w:tc>
        <w:tc>
          <w:tcPr>
            <w:tcW w:w="362" w:type="dxa"/>
            <w:shd w:val="clear" w:color="auto" w:fill="auto"/>
          </w:tcPr>
          <w:p w14:paraId="6ED218E9" w14:textId="77777777" w:rsidR="00CD29BD" w:rsidRPr="004870C7" w:rsidRDefault="00CD29BD" w:rsidP="003B2A79">
            <w:pPr>
              <w:rPr>
                <w:szCs w:val="22"/>
              </w:rPr>
            </w:pPr>
          </w:p>
        </w:tc>
        <w:tc>
          <w:tcPr>
            <w:tcW w:w="362" w:type="dxa"/>
            <w:shd w:val="clear" w:color="auto" w:fill="B4C6E7" w:themeFill="accent1" w:themeFillTint="66"/>
          </w:tcPr>
          <w:p w14:paraId="0D1283FB" w14:textId="77777777" w:rsidR="00CD29BD" w:rsidRPr="004870C7" w:rsidRDefault="00CD29BD" w:rsidP="003B2A79">
            <w:pPr>
              <w:rPr>
                <w:szCs w:val="22"/>
              </w:rPr>
            </w:pPr>
          </w:p>
        </w:tc>
        <w:tc>
          <w:tcPr>
            <w:tcW w:w="362" w:type="dxa"/>
            <w:shd w:val="clear" w:color="auto" w:fill="B4C6E7" w:themeFill="accent1" w:themeFillTint="66"/>
          </w:tcPr>
          <w:p w14:paraId="1A5DE5DD" w14:textId="77777777" w:rsidR="00CD29BD" w:rsidRPr="004870C7" w:rsidRDefault="00CD29BD" w:rsidP="003B2A79">
            <w:pPr>
              <w:rPr>
                <w:szCs w:val="22"/>
              </w:rPr>
            </w:pPr>
          </w:p>
        </w:tc>
        <w:tc>
          <w:tcPr>
            <w:tcW w:w="362" w:type="dxa"/>
            <w:shd w:val="clear" w:color="auto" w:fill="B4C6E7" w:themeFill="accent1" w:themeFillTint="66"/>
          </w:tcPr>
          <w:p w14:paraId="1F48132C" w14:textId="77777777" w:rsidR="00CD29BD" w:rsidRPr="004870C7" w:rsidRDefault="00CD29BD" w:rsidP="003B2A79">
            <w:pPr>
              <w:rPr>
                <w:szCs w:val="22"/>
              </w:rPr>
            </w:pPr>
          </w:p>
        </w:tc>
        <w:tc>
          <w:tcPr>
            <w:tcW w:w="362" w:type="dxa"/>
            <w:shd w:val="clear" w:color="auto" w:fill="B4C6E7" w:themeFill="accent1" w:themeFillTint="66"/>
          </w:tcPr>
          <w:p w14:paraId="2B144831" w14:textId="77777777" w:rsidR="00CD29BD" w:rsidRPr="004870C7" w:rsidRDefault="00CD29BD" w:rsidP="003B2A79">
            <w:pPr>
              <w:rPr>
                <w:szCs w:val="22"/>
              </w:rPr>
            </w:pPr>
          </w:p>
        </w:tc>
        <w:tc>
          <w:tcPr>
            <w:tcW w:w="362" w:type="dxa"/>
            <w:shd w:val="clear" w:color="auto" w:fill="B4C6E7" w:themeFill="accent1" w:themeFillTint="66"/>
          </w:tcPr>
          <w:p w14:paraId="44224509" w14:textId="77777777" w:rsidR="00CD29BD" w:rsidRPr="004870C7" w:rsidRDefault="00CD29BD" w:rsidP="003B2A79">
            <w:pPr>
              <w:rPr>
                <w:szCs w:val="22"/>
              </w:rPr>
            </w:pPr>
          </w:p>
        </w:tc>
        <w:tc>
          <w:tcPr>
            <w:tcW w:w="362" w:type="dxa"/>
            <w:shd w:val="clear" w:color="auto" w:fill="auto"/>
          </w:tcPr>
          <w:p w14:paraId="71BF3DD0" w14:textId="77777777" w:rsidR="00CD29BD" w:rsidRPr="004870C7" w:rsidRDefault="00CD29BD" w:rsidP="003B2A79">
            <w:pPr>
              <w:rPr>
                <w:szCs w:val="22"/>
              </w:rPr>
            </w:pPr>
          </w:p>
        </w:tc>
        <w:tc>
          <w:tcPr>
            <w:tcW w:w="362" w:type="dxa"/>
            <w:shd w:val="clear" w:color="auto" w:fill="auto"/>
          </w:tcPr>
          <w:p w14:paraId="50B342B5" w14:textId="77777777" w:rsidR="00CD29BD" w:rsidRPr="004870C7" w:rsidRDefault="00CD29BD" w:rsidP="003B2A79">
            <w:pPr>
              <w:rPr>
                <w:szCs w:val="22"/>
              </w:rPr>
            </w:pPr>
          </w:p>
        </w:tc>
        <w:tc>
          <w:tcPr>
            <w:tcW w:w="362" w:type="dxa"/>
            <w:shd w:val="clear" w:color="auto" w:fill="auto"/>
          </w:tcPr>
          <w:p w14:paraId="0812F432" w14:textId="77777777" w:rsidR="00CD29BD" w:rsidRPr="004870C7" w:rsidRDefault="00CD29BD" w:rsidP="003B2A79">
            <w:pPr>
              <w:rPr>
                <w:szCs w:val="22"/>
              </w:rPr>
            </w:pPr>
          </w:p>
        </w:tc>
      </w:tr>
    </w:tbl>
    <w:p w14:paraId="18B5D0DA" w14:textId="77777777" w:rsidR="00147EA8" w:rsidRDefault="00147EA8" w:rsidP="00564787">
      <w:pPr>
        <w:pStyle w:val="Heading2"/>
        <w:ind w:left="0"/>
        <w:rPr>
          <w:b w:val="0"/>
          <w:szCs w:val="22"/>
        </w:rPr>
        <w:sectPr w:rsidR="00147EA8" w:rsidSect="00004AD0">
          <w:pgSz w:w="12240" w:h="15840" w:code="1"/>
          <w:pgMar w:top="1440" w:right="1440" w:bottom="1440" w:left="1440" w:header="720" w:footer="720" w:gutter="0"/>
          <w:cols w:space="720"/>
          <w:docGrid w:linePitch="360"/>
        </w:sectPr>
      </w:pPr>
    </w:p>
    <w:p w14:paraId="0BC5C18B" w14:textId="77777777" w:rsidR="00147EA8" w:rsidRDefault="00147EA8" w:rsidP="002367DC">
      <w:pPr>
        <w:pStyle w:val="Heading2"/>
        <w:tabs>
          <w:tab w:val="left" w:pos="1740"/>
        </w:tabs>
        <w:ind w:left="0"/>
      </w:pPr>
    </w:p>
    <w:p w14:paraId="6FF11ACD" w14:textId="083B8E35" w:rsidR="001A7B9D" w:rsidRPr="004870C7" w:rsidRDefault="00BB0459" w:rsidP="002367DC">
      <w:pPr>
        <w:pStyle w:val="Heading2"/>
        <w:tabs>
          <w:tab w:val="left" w:pos="1740"/>
        </w:tabs>
        <w:ind w:left="0"/>
        <w:rPr>
          <w:rFonts w:asciiTheme="minorHAnsi" w:hAnsiTheme="minorHAnsi" w:cstheme="minorHAnsi"/>
          <w:szCs w:val="22"/>
        </w:rPr>
      </w:pPr>
      <w:bookmarkStart w:id="29" w:name="_Toc75965560"/>
      <w:bookmarkEnd w:id="16"/>
      <w:bookmarkEnd w:id="17"/>
      <w:r w:rsidRPr="004870C7">
        <w:rPr>
          <w:rFonts w:asciiTheme="minorHAnsi" w:hAnsiTheme="minorHAnsi" w:cstheme="minorHAnsi"/>
          <w:szCs w:val="22"/>
        </w:rPr>
        <w:t xml:space="preserve">Annex </w:t>
      </w:r>
      <w:r w:rsidR="00D35B7F" w:rsidRPr="004870C7">
        <w:rPr>
          <w:rFonts w:asciiTheme="minorHAnsi" w:hAnsiTheme="minorHAnsi" w:cstheme="minorHAnsi"/>
          <w:szCs w:val="22"/>
        </w:rPr>
        <w:t>4</w:t>
      </w:r>
      <w:r w:rsidRPr="004870C7">
        <w:rPr>
          <w:rFonts w:asciiTheme="minorHAnsi" w:hAnsiTheme="minorHAnsi" w:cstheme="minorHAnsi"/>
          <w:szCs w:val="22"/>
        </w:rPr>
        <w:t xml:space="preserve">: </w:t>
      </w:r>
      <w:r w:rsidR="00BD0D6F" w:rsidRPr="004870C7">
        <w:rPr>
          <w:rFonts w:asciiTheme="minorHAnsi" w:hAnsiTheme="minorHAnsi" w:cstheme="minorHAnsi"/>
          <w:szCs w:val="22"/>
        </w:rPr>
        <w:t>Monitoring Plan</w:t>
      </w:r>
      <w:bookmarkEnd w:id="29"/>
      <w:r w:rsidR="00BD0D6F" w:rsidRPr="004870C7">
        <w:rPr>
          <w:rFonts w:asciiTheme="minorHAnsi" w:hAnsiTheme="minorHAnsi" w:cstheme="minorHAnsi"/>
          <w:szCs w:val="22"/>
        </w:rPr>
        <w:t xml:space="preserve"> </w:t>
      </w:r>
    </w:p>
    <w:p w14:paraId="0027882C" w14:textId="77777777" w:rsidR="00C46676" w:rsidRPr="004870C7" w:rsidRDefault="00C46676" w:rsidP="00BB0459">
      <w:pPr>
        <w:pStyle w:val="Heading2"/>
        <w:ind w:left="0"/>
        <w:rPr>
          <w:rFonts w:ascii="Calibri" w:hAnsi="Calibri"/>
          <w:szCs w:val="22"/>
        </w:rPr>
      </w:pPr>
    </w:p>
    <w:p w14:paraId="2BF08247" w14:textId="77777777" w:rsidR="00C46676" w:rsidRPr="004870C7" w:rsidRDefault="00C46676" w:rsidP="00C46676">
      <w:bookmarkStart w:id="30" w:name="_Toc10449648"/>
      <w:r w:rsidRPr="004870C7">
        <w:t>This Monitoring Plan and the M&amp;E Plan and Budget in Section VI of this project document will both guide monitoring and evaluation at the project level for the duration of project implementation.</w:t>
      </w:r>
      <w:bookmarkEnd w:id="30"/>
      <w:r w:rsidRPr="004870C7">
        <w:t xml:space="preserve">  </w:t>
      </w:r>
    </w:p>
    <w:p w14:paraId="44C2B862" w14:textId="77777777" w:rsidR="00C46676" w:rsidRPr="004870C7" w:rsidRDefault="00C46676" w:rsidP="00C46676">
      <w:pPr>
        <w:rPr>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9"/>
        <w:gridCol w:w="1490"/>
        <w:gridCol w:w="1201"/>
        <w:gridCol w:w="1680"/>
        <w:gridCol w:w="1708"/>
        <w:gridCol w:w="1336"/>
        <w:gridCol w:w="1270"/>
        <w:gridCol w:w="1025"/>
        <w:gridCol w:w="1566"/>
      </w:tblGrid>
      <w:tr w:rsidR="000F08D7" w:rsidRPr="004870C7" w14:paraId="667D6F9A" w14:textId="77777777" w:rsidTr="00C46676">
        <w:trPr>
          <w:trHeight w:val="980"/>
          <w:tblHeader/>
        </w:trPr>
        <w:tc>
          <w:tcPr>
            <w:tcW w:w="1728" w:type="dxa"/>
            <w:shd w:val="clear" w:color="auto" w:fill="D9D9D9"/>
            <w:vAlign w:val="center"/>
          </w:tcPr>
          <w:p w14:paraId="7D28523A" w14:textId="77777777" w:rsidR="00C46676" w:rsidRPr="004870C7" w:rsidRDefault="00C46676" w:rsidP="0032777B">
            <w:pPr>
              <w:rPr>
                <w:b/>
              </w:rPr>
            </w:pPr>
            <w:r w:rsidRPr="004870C7">
              <w:rPr>
                <w:b/>
              </w:rPr>
              <w:t>Monitoring</w:t>
            </w:r>
          </w:p>
        </w:tc>
        <w:tc>
          <w:tcPr>
            <w:tcW w:w="1527" w:type="dxa"/>
            <w:shd w:val="clear" w:color="auto" w:fill="D9D9D9"/>
            <w:vAlign w:val="center"/>
          </w:tcPr>
          <w:p w14:paraId="0EE777FB" w14:textId="77777777" w:rsidR="00C46676" w:rsidRPr="004870C7" w:rsidRDefault="00C46676" w:rsidP="0032777B">
            <w:pPr>
              <w:rPr>
                <w:b/>
              </w:rPr>
            </w:pPr>
            <w:r w:rsidRPr="004870C7">
              <w:rPr>
                <w:b/>
              </w:rPr>
              <w:t>Indicators</w:t>
            </w:r>
          </w:p>
        </w:tc>
        <w:tc>
          <w:tcPr>
            <w:tcW w:w="1263" w:type="dxa"/>
            <w:shd w:val="clear" w:color="auto" w:fill="D9D9D9"/>
            <w:vAlign w:val="center"/>
          </w:tcPr>
          <w:p w14:paraId="60F283DD" w14:textId="77777777" w:rsidR="00C46676" w:rsidRPr="004870C7" w:rsidRDefault="00C46676" w:rsidP="0032777B">
            <w:pPr>
              <w:rPr>
                <w:b/>
              </w:rPr>
            </w:pPr>
          </w:p>
          <w:p w14:paraId="52B9B184" w14:textId="77777777" w:rsidR="00C46676" w:rsidRPr="004870C7" w:rsidRDefault="00C46676" w:rsidP="0032777B">
            <w:pPr>
              <w:rPr>
                <w:b/>
              </w:rPr>
            </w:pPr>
            <w:r w:rsidRPr="004870C7">
              <w:rPr>
                <w:b/>
              </w:rPr>
              <w:t>Targets</w:t>
            </w:r>
          </w:p>
        </w:tc>
        <w:tc>
          <w:tcPr>
            <w:tcW w:w="1729" w:type="dxa"/>
            <w:shd w:val="clear" w:color="auto" w:fill="D9D9D9"/>
            <w:vAlign w:val="center"/>
          </w:tcPr>
          <w:p w14:paraId="38DBF4F0" w14:textId="77777777" w:rsidR="00C46676" w:rsidRPr="004870C7" w:rsidRDefault="00C46676" w:rsidP="0032777B">
            <w:pPr>
              <w:rPr>
                <w:b/>
              </w:rPr>
            </w:pPr>
          </w:p>
          <w:p w14:paraId="695068D0" w14:textId="77777777" w:rsidR="00C46676" w:rsidRPr="004870C7" w:rsidRDefault="00C46676" w:rsidP="0032777B">
            <w:pPr>
              <w:rPr>
                <w:b/>
              </w:rPr>
            </w:pPr>
            <w:r w:rsidRPr="004870C7">
              <w:rPr>
                <w:b/>
              </w:rPr>
              <w:t>Description of indicators and targets</w:t>
            </w:r>
          </w:p>
          <w:p w14:paraId="4CD1D44B" w14:textId="77777777" w:rsidR="00C46676" w:rsidRPr="004870C7" w:rsidRDefault="00C46676" w:rsidP="0032777B">
            <w:pPr>
              <w:rPr>
                <w:b/>
              </w:rPr>
            </w:pPr>
          </w:p>
        </w:tc>
        <w:tc>
          <w:tcPr>
            <w:tcW w:w="1758" w:type="dxa"/>
            <w:shd w:val="clear" w:color="auto" w:fill="D9D9D9"/>
            <w:vAlign w:val="center"/>
          </w:tcPr>
          <w:p w14:paraId="28CA2E32" w14:textId="77777777" w:rsidR="00C46676" w:rsidRPr="004870C7" w:rsidRDefault="00C46676" w:rsidP="0032777B">
            <w:pPr>
              <w:rPr>
                <w:b/>
                <w:bCs/>
              </w:rPr>
            </w:pPr>
            <w:r w:rsidRPr="004870C7">
              <w:rPr>
                <w:b/>
              </w:rPr>
              <w:t>Data source/Collection Methods</w:t>
            </w:r>
            <w:r w:rsidRPr="004870C7">
              <w:rPr>
                <w:b/>
                <w:bCs/>
                <w:vertAlign w:val="superscript"/>
              </w:rPr>
              <w:footnoteReference w:id="11"/>
            </w:r>
          </w:p>
          <w:p w14:paraId="6F5AEBAF" w14:textId="77777777" w:rsidR="00C46676" w:rsidRPr="004870C7" w:rsidRDefault="00C46676" w:rsidP="0032777B">
            <w:pPr>
              <w:rPr>
                <w:b/>
              </w:rPr>
            </w:pPr>
          </w:p>
        </w:tc>
        <w:tc>
          <w:tcPr>
            <w:tcW w:w="982" w:type="dxa"/>
            <w:shd w:val="clear" w:color="auto" w:fill="D9D9D9"/>
            <w:vAlign w:val="center"/>
          </w:tcPr>
          <w:p w14:paraId="0E108945" w14:textId="77777777" w:rsidR="00C46676" w:rsidRPr="004870C7" w:rsidRDefault="00C46676" w:rsidP="0032777B">
            <w:pPr>
              <w:rPr>
                <w:b/>
              </w:rPr>
            </w:pPr>
            <w:r w:rsidRPr="004870C7">
              <w:rPr>
                <w:b/>
              </w:rPr>
              <w:t>Frequency</w:t>
            </w:r>
          </w:p>
          <w:p w14:paraId="2B6ED6BD" w14:textId="77777777" w:rsidR="00C46676" w:rsidRPr="004870C7" w:rsidRDefault="00C46676" w:rsidP="0032777B">
            <w:pPr>
              <w:rPr>
                <w:b/>
              </w:rPr>
            </w:pPr>
          </w:p>
        </w:tc>
        <w:tc>
          <w:tcPr>
            <w:tcW w:w="1305" w:type="dxa"/>
            <w:shd w:val="clear" w:color="auto" w:fill="D9D9D9"/>
            <w:vAlign w:val="center"/>
          </w:tcPr>
          <w:p w14:paraId="5630CCC0" w14:textId="77777777" w:rsidR="00C46676" w:rsidRPr="004870C7" w:rsidRDefault="00C46676" w:rsidP="0032777B">
            <w:pPr>
              <w:rPr>
                <w:b/>
              </w:rPr>
            </w:pPr>
            <w:r w:rsidRPr="004870C7">
              <w:rPr>
                <w:b/>
              </w:rPr>
              <w:t>Responsible for data collection</w:t>
            </w:r>
          </w:p>
        </w:tc>
        <w:tc>
          <w:tcPr>
            <w:tcW w:w="1052" w:type="dxa"/>
            <w:shd w:val="clear" w:color="auto" w:fill="D9D9D9"/>
            <w:vAlign w:val="center"/>
          </w:tcPr>
          <w:p w14:paraId="292BD584" w14:textId="77777777" w:rsidR="00C46676" w:rsidRPr="004870C7" w:rsidRDefault="00C46676" w:rsidP="0032777B">
            <w:pPr>
              <w:rPr>
                <w:b/>
              </w:rPr>
            </w:pPr>
            <w:r w:rsidRPr="004870C7">
              <w:rPr>
                <w:b/>
              </w:rPr>
              <w:t>Means of verification</w:t>
            </w:r>
          </w:p>
        </w:tc>
        <w:tc>
          <w:tcPr>
            <w:tcW w:w="1611" w:type="dxa"/>
            <w:shd w:val="clear" w:color="auto" w:fill="D9D9D9"/>
            <w:vAlign w:val="center"/>
          </w:tcPr>
          <w:p w14:paraId="11AAF4C9" w14:textId="77777777" w:rsidR="00C46676" w:rsidRPr="004870C7" w:rsidRDefault="00C46676" w:rsidP="0032777B">
            <w:pPr>
              <w:rPr>
                <w:b/>
                <w:bCs/>
              </w:rPr>
            </w:pPr>
            <w:r w:rsidRPr="004870C7">
              <w:rPr>
                <w:b/>
                <w:bCs/>
              </w:rPr>
              <w:t>Risks/Assumptions</w:t>
            </w:r>
          </w:p>
        </w:tc>
      </w:tr>
      <w:tr w:rsidR="00DF65C8" w:rsidRPr="004870C7" w14:paraId="7A64A0E8" w14:textId="77777777" w:rsidTr="00C46676">
        <w:trPr>
          <w:trHeight w:val="1358"/>
        </w:trPr>
        <w:tc>
          <w:tcPr>
            <w:tcW w:w="1728" w:type="dxa"/>
            <w:vMerge w:val="restart"/>
            <w:shd w:val="clear" w:color="auto" w:fill="auto"/>
          </w:tcPr>
          <w:p w14:paraId="752F43B4" w14:textId="77777777" w:rsidR="00C46676" w:rsidRPr="004870C7" w:rsidRDefault="00C46676" w:rsidP="0032777B">
            <w:pPr>
              <w:rPr>
                <w:b/>
              </w:rPr>
            </w:pPr>
            <w:r w:rsidRPr="004870C7">
              <w:rPr>
                <w:b/>
              </w:rPr>
              <w:t>Project objective from the results framework</w:t>
            </w:r>
          </w:p>
          <w:p w14:paraId="31454BA6" w14:textId="77777777" w:rsidR="00C46676" w:rsidRPr="004870C7" w:rsidRDefault="00C46676" w:rsidP="0032777B">
            <w:pPr>
              <w:rPr>
                <w:b/>
              </w:rPr>
            </w:pPr>
          </w:p>
          <w:p w14:paraId="4A73F180" w14:textId="77777777" w:rsidR="00C46676" w:rsidRPr="004870C7" w:rsidRDefault="00C46676" w:rsidP="0032777B">
            <w:pPr>
              <w:rPr>
                <w:b/>
                <w:bCs/>
              </w:rPr>
            </w:pPr>
            <w:r w:rsidRPr="004870C7">
              <w:rPr>
                <w:b/>
                <w:bCs/>
              </w:rPr>
              <w:t xml:space="preserve">To assist Government of Montenegro in preparation and submission of its Fourth National Communication and its First Biennial Transparency Report for the fulfilment of the obligations under the United Nations Framework Convention on </w:t>
            </w:r>
            <w:r w:rsidRPr="004870C7">
              <w:rPr>
                <w:b/>
                <w:bCs/>
              </w:rPr>
              <w:lastRenderedPageBreak/>
              <w:t>Climate Change (UNFCCC)</w:t>
            </w:r>
          </w:p>
          <w:p w14:paraId="5D049F4E" w14:textId="77777777" w:rsidR="00C46676" w:rsidRPr="004870C7" w:rsidRDefault="00C46676" w:rsidP="0032777B">
            <w:pPr>
              <w:rPr>
                <w:b/>
              </w:rPr>
            </w:pPr>
          </w:p>
        </w:tc>
        <w:tc>
          <w:tcPr>
            <w:tcW w:w="1527" w:type="dxa"/>
            <w:shd w:val="clear" w:color="auto" w:fill="auto"/>
          </w:tcPr>
          <w:p w14:paraId="15604B14" w14:textId="77777777" w:rsidR="00C46676" w:rsidRPr="004870C7" w:rsidRDefault="00C46676" w:rsidP="0032777B">
            <w:pPr>
              <w:rPr>
                <w:b/>
                <w:i/>
              </w:rPr>
            </w:pPr>
            <w:r w:rsidRPr="004870C7">
              <w:rPr>
                <w:b/>
                <w:i/>
              </w:rPr>
              <w:lastRenderedPageBreak/>
              <w:t xml:space="preserve">Indicator 1 </w:t>
            </w:r>
          </w:p>
          <w:p w14:paraId="2A2D0CA4" w14:textId="77777777" w:rsidR="00C46676" w:rsidRPr="004870C7" w:rsidRDefault="00C46676" w:rsidP="0032777B">
            <w:pPr>
              <w:rPr>
                <w:i/>
              </w:rPr>
            </w:pPr>
            <w:r w:rsidRPr="004870C7">
              <w:rPr>
                <w:bCs/>
                <w:i/>
              </w:rPr>
              <w:t># direct project beneficiaries disaggregated by gender (individual people)</w:t>
            </w:r>
          </w:p>
        </w:tc>
        <w:tc>
          <w:tcPr>
            <w:tcW w:w="1263" w:type="dxa"/>
          </w:tcPr>
          <w:p w14:paraId="1D4AC945" w14:textId="63EE159B" w:rsidR="00C46676" w:rsidRPr="004870C7" w:rsidRDefault="00C46676" w:rsidP="0032777B">
            <w:pPr>
              <w:rPr>
                <w:i/>
              </w:rPr>
            </w:pPr>
            <w:r w:rsidRPr="004870C7">
              <w:rPr>
                <w:i/>
              </w:rPr>
              <w:t>Midterm: 40</w:t>
            </w:r>
            <w:r w:rsidR="00555BEB" w:rsidRPr="004870C7">
              <w:rPr>
                <w:i/>
              </w:rPr>
              <w:t>, out of which at least 50% are female</w:t>
            </w:r>
          </w:p>
          <w:p w14:paraId="59181FCD" w14:textId="04EB623C" w:rsidR="00C46676" w:rsidRPr="004870C7" w:rsidRDefault="00C46676" w:rsidP="0032777B">
            <w:pPr>
              <w:rPr>
                <w:i/>
              </w:rPr>
            </w:pPr>
            <w:r w:rsidRPr="004870C7">
              <w:rPr>
                <w:i/>
              </w:rPr>
              <w:t>End of Project: 100</w:t>
            </w:r>
            <w:r w:rsidR="00555BEB" w:rsidRPr="004870C7">
              <w:rPr>
                <w:i/>
              </w:rPr>
              <w:t>, out of which at least 50% are female</w:t>
            </w:r>
          </w:p>
        </w:tc>
        <w:tc>
          <w:tcPr>
            <w:tcW w:w="1729" w:type="dxa"/>
          </w:tcPr>
          <w:p w14:paraId="0D88DD1C" w14:textId="52394EAC" w:rsidR="00C46676" w:rsidRPr="004870C7" w:rsidRDefault="00C46676" w:rsidP="0032777B">
            <w:pPr>
              <w:rPr>
                <w:i/>
              </w:rPr>
            </w:pPr>
            <w:r w:rsidRPr="004870C7">
              <w:rPr>
                <w:i/>
              </w:rPr>
              <w:t>Indicators were derived based on previous experience o</w:t>
            </w:r>
            <w:r w:rsidR="00635D95" w:rsidRPr="004870C7">
              <w:rPr>
                <w:i/>
              </w:rPr>
              <w:t>f</w:t>
            </w:r>
            <w:r w:rsidRPr="004870C7">
              <w:rPr>
                <w:i/>
              </w:rPr>
              <w:t xml:space="preserve"> working on NCs/BURs – there are 5 major partners involved in development of NCs (Ministry of Ecology, EPA, Hydrometeorological Institute, Ministry of Capital Investments, State Statistical Office) – there will be app. 10 people involved from, plus other representatives of </w:t>
            </w:r>
            <w:r w:rsidRPr="004870C7">
              <w:rPr>
                <w:i/>
              </w:rPr>
              <w:lastRenderedPageBreak/>
              <w:t xml:space="preserve">other relevant ministries and institutions (e.g. Min. of Interior, Agriculture, Forestry etc).   </w:t>
            </w:r>
          </w:p>
        </w:tc>
        <w:tc>
          <w:tcPr>
            <w:tcW w:w="1758" w:type="dxa"/>
            <w:shd w:val="clear" w:color="auto" w:fill="auto"/>
          </w:tcPr>
          <w:p w14:paraId="56972249" w14:textId="77777777" w:rsidR="00C46676" w:rsidRPr="004870C7" w:rsidRDefault="00C46676" w:rsidP="0032777B">
            <w:pPr>
              <w:rPr>
                <w:i/>
              </w:rPr>
            </w:pPr>
            <w:r w:rsidRPr="004870C7">
              <w:rPr>
                <w:i/>
              </w:rPr>
              <w:lastRenderedPageBreak/>
              <w:t xml:space="preserve">Direct involvement in project activities, including participation in management Board, technical working groups, workshops, webinars etc. </w:t>
            </w:r>
          </w:p>
        </w:tc>
        <w:tc>
          <w:tcPr>
            <w:tcW w:w="982" w:type="dxa"/>
            <w:shd w:val="clear" w:color="auto" w:fill="auto"/>
          </w:tcPr>
          <w:p w14:paraId="7F0B1D50" w14:textId="779AFC7A" w:rsidR="00C46676" w:rsidRPr="004870C7" w:rsidRDefault="00555BEB" w:rsidP="0032777B">
            <w:r w:rsidRPr="004870C7">
              <w:t xml:space="preserve">Status Survey on NCs/BTRs implementation are filled annually.  </w:t>
            </w:r>
          </w:p>
          <w:p w14:paraId="68707B40" w14:textId="77777777" w:rsidR="00C46676" w:rsidRPr="004870C7" w:rsidRDefault="00C46676" w:rsidP="0032777B"/>
          <w:p w14:paraId="3E352363" w14:textId="77777777" w:rsidR="00C46676" w:rsidRPr="004870C7" w:rsidRDefault="00C46676" w:rsidP="0032777B"/>
        </w:tc>
        <w:tc>
          <w:tcPr>
            <w:tcW w:w="1305" w:type="dxa"/>
            <w:shd w:val="clear" w:color="auto" w:fill="auto"/>
          </w:tcPr>
          <w:p w14:paraId="179B5E57" w14:textId="77777777" w:rsidR="00C46676" w:rsidRPr="004870C7" w:rsidRDefault="00C46676" w:rsidP="0032777B">
            <w:pPr>
              <w:rPr>
                <w:i/>
              </w:rPr>
            </w:pPr>
            <w:r w:rsidRPr="004870C7">
              <w:rPr>
                <w:i/>
              </w:rPr>
              <w:t xml:space="preserve">IP - Ministry of Ecology, Spatial Planning and Urbanism, possibly national consultant </w:t>
            </w:r>
          </w:p>
        </w:tc>
        <w:tc>
          <w:tcPr>
            <w:tcW w:w="1052" w:type="dxa"/>
            <w:shd w:val="clear" w:color="auto" w:fill="auto"/>
          </w:tcPr>
          <w:p w14:paraId="3E7EED1F" w14:textId="77777777" w:rsidR="00C46676" w:rsidRPr="004870C7" w:rsidRDefault="00C46676" w:rsidP="0032777B">
            <w:pPr>
              <w:rPr>
                <w:i/>
              </w:rPr>
            </w:pPr>
            <w:r w:rsidRPr="004870C7">
              <w:rPr>
                <w:i/>
              </w:rPr>
              <w:t>Consultant report</w:t>
            </w:r>
          </w:p>
          <w:p w14:paraId="265B9CF9" w14:textId="77777777" w:rsidR="00C46676" w:rsidRPr="004870C7" w:rsidRDefault="00C46676" w:rsidP="0032777B">
            <w:pPr>
              <w:rPr>
                <w:i/>
              </w:rPr>
            </w:pPr>
          </w:p>
          <w:p w14:paraId="23A1C6B7" w14:textId="77777777" w:rsidR="00C46676" w:rsidRPr="004870C7" w:rsidRDefault="00C46676" w:rsidP="0032777B">
            <w:pPr>
              <w:rPr>
                <w:i/>
              </w:rPr>
            </w:pPr>
          </w:p>
        </w:tc>
        <w:tc>
          <w:tcPr>
            <w:tcW w:w="1611" w:type="dxa"/>
            <w:shd w:val="clear" w:color="auto" w:fill="auto"/>
          </w:tcPr>
          <w:p w14:paraId="10510E2F" w14:textId="5234B96F" w:rsidR="00C46676" w:rsidRPr="004870C7" w:rsidRDefault="00C46676" w:rsidP="0032777B">
            <w:pPr>
              <w:rPr>
                <w:bCs/>
                <w:i/>
              </w:rPr>
            </w:pPr>
            <w:r w:rsidRPr="004870C7">
              <w:rPr>
                <w:bCs/>
                <w:i/>
              </w:rPr>
              <w:t xml:space="preserve">As this is one of the first project to be implemented through NIM, lack of relevant human capacities at IP might </w:t>
            </w:r>
            <w:r w:rsidR="00EE297B" w:rsidRPr="004870C7">
              <w:rPr>
                <w:bCs/>
                <w:i/>
              </w:rPr>
              <w:t>s</w:t>
            </w:r>
            <w:r w:rsidRPr="004870C7">
              <w:rPr>
                <w:bCs/>
                <w:i/>
              </w:rPr>
              <w:t>low down the process of implementation.</w:t>
            </w:r>
          </w:p>
          <w:p w14:paraId="1099E14A" w14:textId="77777777" w:rsidR="00C46676" w:rsidRPr="004870C7" w:rsidRDefault="00C46676" w:rsidP="0032777B">
            <w:pPr>
              <w:rPr>
                <w:bCs/>
                <w:i/>
              </w:rPr>
            </w:pPr>
          </w:p>
        </w:tc>
      </w:tr>
      <w:tr w:rsidR="00DF65C8" w:rsidRPr="004870C7" w14:paraId="279DB3CC" w14:textId="77777777" w:rsidTr="00C46676">
        <w:trPr>
          <w:trHeight w:val="260"/>
        </w:trPr>
        <w:tc>
          <w:tcPr>
            <w:tcW w:w="1728" w:type="dxa"/>
            <w:vMerge/>
            <w:shd w:val="clear" w:color="auto" w:fill="auto"/>
          </w:tcPr>
          <w:p w14:paraId="5F344515" w14:textId="77777777" w:rsidR="00C46676" w:rsidRPr="004870C7" w:rsidRDefault="00C46676" w:rsidP="0032777B">
            <w:pPr>
              <w:rPr>
                <w:b/>
              </w:rPr>
            </w:pPr>
          </w:p>
        </w:tc>
        <w:tc>
          <w:tcPr>
            <w:tcW w:w="1527" w:type="dxa"/>
            <w:shd w:val="clear" w:color="auto" w:fill="auto"/>
          </w:tcPr>
          <w:p w14:paraId="734B1D94" w14:textId="3ED4A38C" w:rsidR="00C46676" w:rsidRPr="004870C7" w:rsidRDefault="00C46676" w:rsidP="0032777B">
            <w:pPr>
              <w:rPr>
                <w:b/>
                <w:i/>
              </w:rPr>
            </w:pPr>
            <w:r w:rsidRPr="004870C7">
              <w:rPr>
                <w:b/>
                <w:i/>
              </w:rPr>
              <w:t>Indicator 2</w:t>
            </w:r>
          </w:p>
          <w:p w14:paraId="23BAA6A3" w14:textId="7D663C10" w:rsidR="00C46676" w:rsidRPr="004870C7" w:rsidRDefault="00C46676" w:rsidP="0032777B">
            <w:pPr>
              <w:rPr>
                <w:bCs/>
                <w:i/>
              </w:rPr>
            </w:pPr>
            <w:r w:rsidRPr="004870C7">
              <w:rPr>
                <w:bCs/>
                <w:i/>
                <w:iCs/>
              </w:rPr>
              <w:t>Fourth NC</w:t>
            </w:r>
            <w:r w:rsidR="00A6719D">
              <w:rPr>
                <w:bCs/>
                <w:i/>
                <w:iCs/>
              </w:rPr>
              <w:t>/</w:t>
            </w:r>
            <w:r w:rsidRPr="004870C7">
              <w:rPr>
                <w:bCs/>
                <w:i/>
                <w:iCs/>
              </w:rPr>
              <w:t xml:space="preserve"> First BTR submitted to UNFCCC</w:t>
            </w:r>
          </w:p>
        </w:tc>
        <w:tc>
          <w:tcPr>
            <w:tcW w:w="1263" w:type="dxa"/>
          </w:tcPr>
          <w:p w14:paraId="4A977609" w14:textId="0E9BEA5E" w:rsidR="00C46676" w:rsidRPr="004870C7" w:rsidRDefault="00C46676" w:rsidP="0032777B">
            <w:pPr>
              <w:rPr>
                <w:i/>
              </w:rPr>
            </w:pPr>
            <w:r w:rsidRPr="004870C7">
              <w:rPr>
                <w:i/>
              </w:rPr>
              <w:t>4</w:t>
            </w:r>
            <w:r w:rsidRPr="004870C7">
              <w:rPr>
                <w:i/>
                <w:vertAlign w:val="superscript"/>
              </w:rPr>
              <w:t>th</w:t>
            </w:r>
            <w:r w:rsidRPr="004870C7">
              <w:rPr>
                <w:i/>
              </w:rPr>
              <w:t xml:space="preserve"> NC/1</w:t>
            </w:r>
            <w:r w:rsidRPr="004870C7">
              <w:rPr>
                <w:i/>
                <w:vertAlign w:val="superscript"/>
              </w:rPr>
              <w:t>st</w:t>
            </w:r>
            <w:r w:rsidRPr="004870C7">
              <w:rPr>
                <w:i/>
              </w:rPr>
              <w:t xml:space="preserve"> BTR submitted to UNFCCC</w:t>
            </w:r>
            <w:r w:rsidR="000B4E65" w:rsidRPr="004870C7">
              <w:rPr>
                <w:i/>
              </w:rPr>
              <w:t xml:space="preserve"> by December 2024</w:t>
            </w:r>
          </w:p>
        </w:tc>
        <w:tc>
          <w:tcPr>
            <w:tcW w:w="1729" w:type="dxa"/>
          </w:tcPr>
          <w:p w14:paraId="2F98014D" w14:textId="77777777" w:rsidR="00C46676" w:rsidRPr="004870C7" w:rsidRDefault="00C46676" w:rsidP="0032777B">
            <w:pPr>
              <w:rPr>
                <w:i/>
              </w:rPr>
            </w:pPr>
            <w:r w:rsidRPr="004870C7">
              <w:rPr>
                <w:i/>
              </w:rPr>
              <w:t>All chapters developed and collated, adopted by the Government and submitted to the UNFCCC</w:t>
            </w:r>
          </w:p>
        </w:tc>
        <w:tc>
          <w:tcPr>
            <w:tcW w:w="1758" w:type="dxa"/>
            <w:shd w:val="clear" w:color="auto" w:fill="auto"/>
          </w:tcPr>
          <w:p w14:paraId="7576AC21" w14:textId="77777777" w:rsidR="00C46676" w:rsidRPr="004870C7" w:rsidRDefault="00C46676" w:rsidP="0032777B">
            <w:pPr>
              <w:rPr>
                <w:i/>
              </w:rPr>
            </w:pPr>
            <w:r w:rsidRPr="004870C7">
              <w:rPr>
                <w:i/>
              </w:rPr>
              <w:t>UNFCCC methodology for NC/BTRs development</w:t>
            </w:r>
          </w:p>
        </w:tc>
        <w:tc>
          <w:tcPr>
            <w:tcW w:w="982" w:type="dxa"/>
            <w:shd w:val="clear" w:color="auto" w:fill="auto"/>
          </w:tcPr>
          <w:p w14:paraId="482E7A8F" w14:textId="02CE0DC1" w:rsidR="00555BEB" w:rsidRPr="004870C7" w:rsidRDefault="00555BEB" w:rsidP="00555BEB">
            <w:r w:rsidRPr="004870C7">
              <w:t xml:space="preserve">Regular Status Survey on NCs/BTRs implementation are filled in annually.  </w:t>
            </w:r>
          </w:p>
          <w:p w14:paraId="64B660ED" w14:textId="051C5CD9" w:rsidR="00C46676" w:rsidRPr="004870C7" w:rsidRDefault="00C46676" w:rsidP="0032777B"/>
        </w:tc>
        <w:tc>
          <w:tcPr>
            <w:tcW w:w="1305" w:type="dxa"/>
            <w:shd w:val="clear" w:color="auto" w:fill="auto"/>
          </w:tcPr>
          <w:p w14:paraId="43B15683" w14:textId="77777777" w:rsidR="00C46676" w:rsidRPr="004870C7" w:rsidRDefault="00C46676" w:rsidP="0032777B">
            <w:pPr>
              <w:rPr>
                <w:i/>
              </w:rPr>
            </w:pPr>
            <w:r w:rsidRPr="004870C7">
              <w:rPr>
                <w:i/>
              </w:rPr>
              <w:t>IP</w:t>
            </w:r>
          </w:p>
        </w:tc>
        <w:tc>
          <w:tcPr>
            <w:tcW w:w="1052" w:type="dxa"/>
            <w:shd w:val="clear" w:color="auto" w:fill="auto"/>
          </w:tcPr>
          <w:p w14:paraId="0550C772" w14:textId="77777777" w:rsidR="00C46676" w:rsidRPr="004870C7" w:rsidRDefault="00C46676" w:rsidP="0032777B">
            <w:pPr>
              <w:rPr>
                <w:i/>
              </w:rPr>
            </w:pPr>
            <w:r w:rsidRPr="004870C7">
              <w:rPr>
                <w:i/>
              </w:rPr>
              <w:t>UNFCCC web site</w:t>
            </w:r>
          </w:p>
        </w:tc>
        <w:tc>
          <w:tcPr>
            <w:tcW w:w="1611" w:type="dxa"/>
            <w:shd w:val="clear" w:color="auto" w:fill="auto"/>
          </w:tcPr>
          <w:p w14:paraId="07000A74" w14:textId="77777777" w:rsidR="00C46676" w:rsidRPr="004870C7" w:rsidRDefault="00C46676" w:rsidP="0032777B">
            <w:pPr>
              <w:rPr>
                <w:i/>
              </w:rPr>
            </w:pPr>
            <w:r w:rsidRPr="004870C7">
              <w:rPr>
                <w:i/>
              </w:rPr>
              <w:t xml:space="preserve">Lack of IPs human capacities might slow down implementation  </w:t>
            </w:r>
          </w:p>
        </w:tc>
      </w:tr>
      <w:tr w:rsidR="00DF65C8" w:rsidRPr="004870C7" w14:paraId="42C251C9" w14:textId="77777777" w:rsidTr="00C46676">
        <w:trPr>
          <w:trHeight w:val="424"/>
        </w:trPr>
        <w:tc>
          <w:tcPr>
            <w:tcW w:w="1728" w:type="dxa"/>
            <w:vMerge w:val="restart"/>
            <w:shd w:val="clear" w:color="auto" w:fill="auto"/>
          </w:tcPr>
          <w:p w14:paraId="680760AA" w14:textId="6A0946D3" w:rsidR="00C46676" w:rsidRPr="004870C7" w:rsidRDefault="00C46676" w:rsidP="0032777B">
            <w:pPr>
              <w:rPr>
                <w:b/>
              </w:rPr>
            </w:pPr>
            <w:r w:rsidRPr="004870C7">
              <w:rPr>
                <w:b/>
              </w:rPr>
              <w:t>Project Outcome 1</w:t>
            </w:r>
            <w:r w:rsidR="000B4E65" w:rsidRPr="004870C7">
              <w:rPr>
                <w:b/>
              </w:rPr>
              <w:t>.1</w:t>
            </w:r>
          </w:p>
          <w:p w14:paraId="7E144580" w14:textId="77777777" w:rsidR="00C46676" w:rsidRPr="004870C7" w:rsidRDefault="00C46676" w:rsidP="0032777B">
            <w:pPr>
              <w:spacing w:after="0"/>
            </w:pPr>
            <w:r w:rsidRPr="004870C7">
              <w:t>Review on previous National</w:t>
            </w:r>
          </w:p>
          <w:p w14:paraId="6ABB4758" w14:textId="77777777" w:rsidR="00C46676" w:rsidRPr="004870C7" w:rsidRDefault="00C46676" w:rsidP="0032777B">
            <w:pPr>
              <w:spacing w:after="0"/>
            </w:pPr>
            <w:r w:rsidRPr="004870C7">
              <w:t>Communications and overview of the current circumstances,</w:t>
            </w:r>
          </w:p>
          <w:p w14:paraId="2DACE0F3" w14:textId="77777777" w:rsidR="00C46676" w:rsidRPr="004870C7" w:rsidRDefault="00C46676" w:rsidP="0032777B">
            <w:pPr>
              <w:spacing w:after="0"/>
            </w:pPr>
            <w:r w:rsidRPr="004870C7">
              <w:t>policies and institutional</w:t>
            </w:r>
          </w:p>
          <w:p w14:paraId="5C3E85EB" w14:textId="77777777" w:rsidR="00C46676" w:rsidRPr="004870C7" w:rsidRDefault="00C46676" w:rsidP="0032777B">
            <w:pPr>
              <w:spacing w:after="0"/>
              <w:rPr>
                <w:b/>
              </w:rPr>
            </w:pPr>
            <w:r w:rsidRPr="004870C7">
              <w:t>arrangements relevant to the preparation of 4NC and 1BTR</w:t>
            </w:r>
          </w:p>
        </w:tc>
        <w:tc>
          <w:tcPr>
            <w:tcW w:w="1527" w:type="dxa"/>
            <w:shd w:val="clear" w:color="auto" w:fill="auto"/>
          </w:tcPr>
          <w:p w14:paraId="65A478B0" w14:textId="6B3D17CD" w:rsidR="00C46676" w:rsidRPr="004870C7" w:rsidRDefault="00C46676" w:rsidP="0032777B">
            <w:pPr>
              <w:rPr>
                <w:b/>
                <w:i/>
              </w:rPr>
            </w:pPr>
            <w:r w:rsidRPr="004870C7">
              <w:rPr>
                <w:b/>
                <w:i/>
              </w:rPr>
              <w:t>Indicator 3</w:t>
            </w:r>
          </w:p>
          <w:p w14:paraId="71B6DC7D" w14:textId="77777777" w:rsidR="00C46676" w:rsidRPr="004870C7" w:rsidRDefault="00C46676" w:rsidP="0032777B">
            <w:r w:rsidRPr="004870C7">
              <w:rPr>
                <w:i/>
                <w:iCs/>
              </w:rPr>
              <w:t>Information on relevant national circumstances and institutional arrangements collected</w:t>
            </w:r>
          </w:p>
        </w:tc>
        <w:tc>
          <w:tcPr>
            <w:tcW w:w="1263" w:type="dxa"/>
          </w:tcPr>
          <w:p w14:paraId="0F359E79" w14:textId="561B3815" w:rsidR="00C46676" w:rsidRPr="004870C7" w:rsidRDefault="00CB0CCD" w:rsidP="0032777B">
            <w:pPr>
              <w:rPr>
                <w:i/>
              </w:rPr>
            </w:pPr>
            <w:r>
              <w:rPr>
                <w:i/>
              </w:rPr>
              <w:t>Updated i</w:t>
            </w:r>
            <w:r w:rsidR="00C46676" w:rsidRPr="004870C7">
              <w:rPr>
                <w:i/>
              </w:rPr>
              <w:t>nfo on</w:t>
            </w:r>
            <w:r w:rsidR="00966A82" w:rsidRPr="004870C7">
              <w:rPr>
                <w:i/>
              </w:rPr>
              <w:t xml:space="preserve"> relevant national circumstances and</w:t>
            </w:r>
            <w:r w:rsidR="00C46676" w:rsidRPr="004870C7">
              <w:rPr>
                <w:i/>
              </w:rPr>
              <w:t xml:space="preserve"> institutional arrangements </w:t>
            </w:r>
            <w:r w:rsidR="00966A82" w:rsidRPr="004870C7">
              <w:rPr>
                <w:i/>
              </w:rPr>
              <w:t xml:space="preserve">collected </w:t>
            </w:r>
          </w:p>
        </w:tc>
        <w:tc>
          <w:tcPr>
            <w:tcW w:w="1729" w:type="dxa"/>
          </w:tcPr>
          <w:p w14:paraId="170D5390" w14:textId="77777777" w:rsidR="00C46676" w:rsidRPr="004870C7" w:rsidRDefault="00C46676" w:rsidP="0032777B">
            <w:pPr>
              <w:rPr>
                <w:i/>
              </w:rPr>
            </w:pPr>
            <w:r w:rsidRPr="004870C7">
              <w:rPr>
                <w:i/>
              </w:rPr>
              <w:t>Description of institutional arrangements presented in 4NC/1BTR</w:t>
            </w:r>
          </w:p>
        </w:tc>
        <w:tc>
          <w:tcPr>
            <w:tcW w:w="1758" w:type="dxa"/>
            <w:shd w:val="clear" w:color="auto" w:fill="auto"/>
          </w:tcPr>
          <w:p w14:paraId="754B795A" w14:textId="77777777" w:rsidR="00C46676" w:rsidRPr="004870C7" w:rsidRDefault="00C46676" w:rsidP="0032777B">
            <w:r w:rsidRPr="004870C7">
              <w:t>UNFCCC methodology for NC/BTR development</w:t>
            </w:r>
          </w:p>
        </w:tc>
        <w:tc>
          <w:tcPr>
            <w:tcW w:w="982" w:type="dxa"/>
            <w:shd w:val="clear" w:color="auto" w:fill="auto"/>
          </w:tcPr>
          <w:p w14:paraId="2917323B" w14:textId="425FA49D" w:rsidR="00555BEB" w:rsidRPr="004870C7" w:rsidRDefault="00555BEB" w:rsidP="00555BEB">
            <w:r w:rsidRPr="004870C7">
              <w:t xml:space="preserve">Regular Status Survey on NCs/BTRs implementation are filled in annually.  </w:t>
            </w:r>
          </w:p>
          <w:p w14:paraId="6B7B5AD1" w14:textId="55AB5636" w:rsidR="00C46676" w:rsidRPr="004870C7" w:rsidRDefault="00C46676" w:rsidP="0032777B"/>
        </w:tc>
        <w:tc>
          <w:tcPr>
            <w:tcW w:w="1305" w:type="dxa"/>
            <w:shd w:val="clear" w:color="auto" w:fill="auto"/>
          </w:tcPr>
          <w:p w14:paraId="7657FE21" w14:textId="77777777" w:rsidR="00C46676" w:rsidRPr="004870C7" w:rsidRDefault="00C46676" w:rsidP="0032777B">
            <w:r w:rsidRPr="004870C7">
              <w:t>IP</w:t>
            </w:r>
          </w:p>
        </w:tc>
        <w:tc>
          <w:tcPr>
            <w:tcW w:w="1052" w:type="dxa"/>
            <w:shd w:val="clear" w:color="auto" w:fill="auto"/>
          </w:tcPr>
          <w:p w14:paraId="28BD4215" w14:textId="77777777" w:rsidR="00C46676" w:rsidRPr="004870C7" w:rsidRDefault="00C46676" w:rsidP="0032777B">
            <w:r w:rsidRPr="004870C7">
              <w:t>UNFCCC web site</w:t>
            </w:r>
          </w:p>
        </w:tc>
        <w:tc>
          <w:tcPr>
            <w:tcW w:w="1611" w:type="dxa"/>
            <w:shd w:val="clear" w:color="auto" w:fill="auto"/>
          </w:tcPr>
          <w:p w14:paraId="7F9CF079" w14:textId="77777777" w:rsidR="00C46676" w:rsidRPr="004870C7" w:rsidRDefault="00C46676" w:rsidP="0032777B">
            <w:r w:rsidRPr="004870C7">
              <w:t xml:space="preserve">Necessary data not available, especially related to climate finance. </w:t>
            </w:r>
          </w:p>
        </w:tc>
      </w:tr>
      <w:tr w:rsidR="00DF65C8" w:rsidRPr="004870C7" w14:paraId="611C20C7" w14:textId="77777777" w:rsidTr="00C46676">
        <w:trPr>
          <w:trHeight w:val="424"/>
        </w:trPr>
        <w:tc>
          <w:tcPr>
            <w:tcW w:w="1728" w:type="dxa"/>
            <w:vMerge/>
            <w:shd w:val="clear" w:color="auto" w:fill="auto"/>
          </w:tcPr>
          <w:p w14:paraId="33C8615D" w14:textId="77777777" w:rsidR="00C46676" w:rsidRPr="004870C7" w:rsidRDefault="00C46676" w:rsidP="0032777B">
            <w:pPr>
              <w:rPr>
                <w:b/>
              </w:rPr>
            </w:pPr>
          </w:p>
        </w:tc>
        <w:tc>
          <w:tcPr>
            <w:tcW w:w="1527" w:type="dxa"/>
            <w:shd w:val="clear" w:color="auto" w:fill="auto"/>
          </w:tcPr>
          <w:p w14:paraId="294C025B" w14:textId="682BE091" w:rsidR="00C46676" w:rsidRPr="004870C7" w:rsidRDefault="00C46676" w:rsidP="0032777B">
            <w:pPr>
              <w:rPr>
                <w:b/>
                <w:i/>
              </w:rPr>
            </w:pPr>
            <w:r w:rsidRPr="004870C7">
              <w:rPr>
                <w:b/>
                <w:i/>
              </w:rPr>
              <w:t>Indicator 4</w:t>
            </w:r>
          </w:p>
          <w:p w14:paraId="6403212B" w14:textId="77777777" w:rsidR="00C46676" w:rsidRPr="004870C7" w:rsidRDefault="00C46676" w:rsidP="0032777B">
            <w:r w:rsidRPr="004870C7">
              <w:rPr>
                <w:iCs/>
              </w:rPr>
              <w:t xml:space="preserve">Information on NDC, including reference points, provided </w:t>
            </w:r>
          </w:p>
        </w:tc>
        <w:tc>
          <w:tcPr>
            <w:tcW w:w="1263" w:type="dxa"/>
          </w:tcPr>
          <w:p w14:paraId="671C4CBB" w14:textId="003D9CF5" w:rsidR="00C46676" w:rsidRPr="004870C7" w:rsidRDefault="00966A82" w:rsidP="0032777B">
            <w:pPr>
              <w:rPr>
                <w:i/>
              </w:rPr>
            </w:pPr>
            <w:r w:rsidRPr="004870C7">
              <w:rPr>
                <w:i/>
              </w:rPr>
              <w:t xml:space="preserve">Info on </w:t>
            </w:r>
            <w:r w:rsidR="00CB0CCD">
              <w:rPr>
                <w:i/>
              </w:rPr>
              <w:t xml:space="preserve">revised </w:t>
            </w:r>
            <w:r w:rsidR="00C46676" w:rsidRPr="004870C7">
              <w:rPr>
                <w:i/>
              </w:rPr>
              <w:t>NDC</w:t>
            </w:r>
            <w:r w:rsidRPr="004870C7">
              <w:rPr>
                <w:i/>
              </w:rPr>
              <w:t xml:space="preserve"> provided as inputs for the first chapter</w:t>
            </w:r>
          </w:p>
        </w:tc>
        <w:tc>
          <w:tcPr>
            <w:tcW w:w="1729" w:type="dxa"/>
          </w:tcPr>
          <w:p w14:paraId="43B8812B" w14:textId="77777777" w:rsidR="00C46676" w:rsidRPr="004870C7" w:rsidRDefault="00C46676" w:rsidP="0032777B">
            <w:pPr>
              <w:rPr>
                <w:i/>
              </w:rPr>
            </w:pPr>
            <w:r w:rsidRPr="004870C7">
              <w:rPr>
                <w:i/>
              </w:rPr>
              <w:t>Description of NDC presented in 4NC/1BTR</w:t>
            </w:r>
          </w:p>
        </w:tc>
        <w:tc>
          <w:tcPr>
            <w:tcW w:w="1758" w:type="dxa"/>
            <w:shd w:val="clear" w:color="auto" w:fill="auto"/>
          </w:tcPr>
          <w:p w14:paraId="1840234B" w14:textId="77777777" w:rsidR="00C46676" w:rsidRPr="004870C7" w:rsidRDefault="00C46676" w:rsidP="0032777B">
            <w:pPr>
              <w:rPr>
                <w:i/>
              </w:rPr>
            </w:pPr>
            <w:r w:rsidRPr="004870C7">
              <w:rPr>
                <w:i/>
              </w:rPr>
              <w:t xml:space="preserve">UNFCCC methodology for NC/BTR development </w:t>
            </w:r>
          </w:p>
        </w:tc>
        <w:tc>
          <w:tcPr>
            <w:tcW w:w="982" w:type="dxa"/>
            <w:shd w:val="clear" w:color="auto" w:fill="auto"/>
          </w:tcPr>
          <w:p w14:paraId="588A7EB1" w14:textId="0571E4E1" w:rsidR="00555BEB" w:rsidRPr="004870C7" w:rsidRDefault="00555BEB" w:rsidP="00555BEB">
            <w:r w:rsidRPr="004870C7">
              <w:t xml:space="preserve">Regular Status Survey on NCs/BTRs implementation are filled in annually.  </w:t>
            </w:r>
          </w:p>
          <w:p w14:paraId="6F96B176" w14:textId="79EEC863" w:rsidR="00C46676" w:rsidRPr="004870C7" w:rsidRDefault="00C46676" w:rsidP="0032777B"/>
        </w:tc>
        <w:tc>
          <w:tcPr>
            <w:tcW w:w="1305" w:type="dxa"/>
            <w:shd w:val="clear" w:color="auto" w:fill="auto"/>
          </w:tcPr>
          <w:p w14:paraId="0322E512" w14:textId="77777777" w:rsidR="00C46676" w:rsidRPr="004870C7" w:rsidRDefault="00C46676" w:rsidP="0032777B">
            <w:r w:rsidRPr="004870C7">
              <w:lastRenderedPageBreak/>
              <w:t>IP</w:t>
            </w:r>
          </w:p>
        </w:tc>
        <w:tc>
          <w:tcPr>
            <w:tcW w:w="1052" w:type="dxa"/>
            <w:shd w:val="clear" w:color="auto" w:fill="auto"/>
          </w:tcPr>
          <w:p w14:paraId="6CBA97E9" w14:textId="77777777" w:rsidR="00C46676" w:rsidRPr="004870C7" w:rsidRDefault="00C46676" w:rsidP="0032777B">
            <w:r w:rsidRPr="004870C7">
              <w:t>UNFCCC web site</w:t>
            </w:r>
          </w:p>
        </w:tc>
        <w:tc>
          <w:tcPr>
            <w:tcW w:w="1611" w:type="dxa"/>
            <w:shd w:val="clear" w:color="auto" w:fill="auto"/>
          </w:tcPr>
          <w:p w14:paraId="4D62C493" w14:textId="77777777" w:rsidR="00C46676" w:rsidRPr="004870C7" w:rsidRDefault="00C46676" w:rsidP="0032777B">
            <w:pPr>
              <w:rPr>
                <w:i/>
              </w:rPr>
            </w:pPr>
          </w:p>
        </w:tc>
      </w:tr>
      <w:tr w:rsidR="00DF65C8" w:rsidRPr="004870C7" w14:paraId="68313E64" w14:textId="77777777" w:rsidTr="00C46676">
        <w:trPr>
          <w:trHeight w:val="424"/>
        </w:trPr>
        <w:tc>
          <w:tcPr>
            <w:tcW w:w="1728" w:type="dxa"/>
            <w:shd w:val="clear" w:color="auto" w:fill="auto"/>
          </w:tcPr>
          <w:p w14:paraId="0F226948" w14:textId="6C2F11DA" w:rsidR="00C46676" w:rsidRPr="004870C7" w:rsidRDefault="00C46676" w:rsidP="0032777B">
            <w:pPr>
              <w:rPr>
                <w:b/>
              </w:rPr>
            </w:pPr>
            <w:r w:rsidRPr="004870C7">
              <w:rPr>
                <w:b/>
              </w:rPr>
              <w:t xml:space="preserve">Project Outcome </w:t>
            </w:r>
            <w:r w:rsidR="000B4E65" w:rsidRPr="004870C7">
              <w:rPr>
                <w:b/>
              </w:rPr>
              <w:t>1.</w:t>
            </w:r>
            <w:r w:rsidRPr="004870C7">
              <w:rPr>
                <w:b/>
              </w:rPr>
              <w:t>2</w:t>
            </w:r>
          </w:p>
          <w:p w14:paraId="362DB3B7" w14:textId="77777777" w:rsidR="00C46676" w:rsidRPr="004870C7" w:rsidRDefault="00C46676" w:rsidP="0032777B">
            <w:pPr>
              <w:spacing w:after="0"/>
            </w:pPr>
            <w:r w:rsidRPr="004870C7">
              <w:t>Progress towards mainstreaming</w:t>
            </w:r>
          </w:p>
          <w:p w14:paraId="1254550A" w14:textId="77777777" w:rsidR="00C46676" w:rsidRPr="004870C7" w:rsidRDefault="00C46676" w:rsidP="0032777B">
            <w:pPr>
              <w:spacing w:after="0"/>
            </w:pPr>
            <w:r w:rsidRPr="004870C7">
              <w:t>of climate change</w:t>
            </w:r>
          </w:p>
          <w:p w14:paraId="484F2724" w14:textId="77777777" w:rsidR="00C46676" w:rsidRPr="004870C7" w:rsidRDefault="00C46676" w:rsidP="0032777B">
            <w:pPr>
              <w:spacing w:after="0"/>
            </w:pPr>
            <w:r w:rsidRPr="004870C7">
              <w:t>considerations along with gender issues into key development strategies and sector-based policy</w:t>
            </w:r>
          </w:p>
          <w:p w14:paraId="1F9D66FF" w14:textId="77777777" w:rsidR="00C46676" w:rsidRPr="004870C7" w:rsidRDefault="00C46676" w:rsidP="0032777B">
            <w:pPr>
              <w:spacing w:after="0"/>
              <w:rPr>
                <w:b/>
              </w:rPr>
            </w:pPr>
            <w:r w:rsidRPr="004870C7">
              <w:t>frameworks</w:t>
            </w:r>
          </w:p>
        </w:tc>
        <w:tc>
          <w:tcPr>
            <w:tcW w:w="1527" w:type="dxa"/>
            <w:shd w:val="clear" w:color="auto" w:fill="auto"/>
          </w:tcPr>
          <w:p w14:paraId="74851315" w14:textId="586A64B0" w:rsidR="00C46676" w:rsidRPr="004870C7" w:rsidRDefault="00C46676" w:rsidP="0032777B">
            <w:r w:rsidRPr="004870C7">
              <w:rPr>
                <w:b/>
                <w:i/>
              </w:rPr>
              <w:t xml:space="preserve">Indicator 5 </w:t>
            </w:r>
            <w:r w:rsidRPr="004870C7">
              <w:t xml:space="preserve">Gender analysis </w:t>
            </w:r>
            <w:r w:rsidR="00373A71" w:rsidRPr="00373A71">
              <w:t>with recommendations on gender mainstreaming into the climate change policies and legislation</w:t>
            </w:r>
            <w:r w:rsidR="00373A71">
              <w:t xml:space="preserve"> </w:t>
            </w:r>
            <w:r w:rsidRPr="004870C7">
              <w:t>developed</w:t>
            </w:r>
          </w:p>
        </w:tc>
        <w:tc>
          <w:tcPr>
            <w:tcW w:w="1263" w:type="dxa"/>
          </w:tcPr>
          <w:p w14:paraId="303A13A7" w14:textId="71CB1E6A" w:rsidR="00C46676" w:rsidRPr="004870C7" w:rsidRDefault="00C46676" w:rsidP="0032777B">
            <w:pPr>
              <w:rPr>
                <w:i/>
              </w:rPr>
            </w:pPr>
            <w:r w:rsidRPr="004870C7">
              <w:rPr>
                <w:bCs/>
                <w:i/>
                <w:iCs/>
              </w:rPr>
              <w:t xml:space="preserve">Gender analysis </w:t>
            </w:r>
            <w:r w:rsidR="00966A82" w:rsidRPr="004870C7">
              <w:rPr>
                <w:bCs/>
                <w:i/>
                <w:iCs/>
              </w:rPr>
              <w:t xml:space="preserve">developed as input for the first chapter </w:t>
            </w:r>
          </w:p>
        </w:tc>
        <w:tc>
          <w:tcPr>
            <w:tcW w:w="1729" w:type="dxa"/>
          </w:tcPr>
          <w:p w14:paraId="3F10AD6F" w14:textId="77777777" w:rsidR="00C46676" w:rsidRPr="004870C7" w:rsidRDefault="00C46676" w:rsidP="0032777B">
            <w:pPr>
              <w:rPr>
                <w:i/>
              </w:rPr>
            </w:pPr>
            <w:r w:rsidRPr="004870C7">
              <w:rPr>
                <w:i/>
              </w:rPr>
              <w:t>Gender mainstreamed within information provided in Chapter 1</w:t>
            </w:r>
          </w:p>
        </w:tc>
        <w:tc>
          <w:tcPr>
            <w:tcW w:w="1758" w:type="dxa"/>
            <w:shd w:val="clear" w:color="auto" w:fill="auto"/>
          </w:tcPr>
          <w:p w14:paraId="7DDA44E6" w14:textId="77777777" w:rsidR="00C46676" w:rsidRPr="004870C7" w:rsidRDefault="00C46676" w:rsidP="0032777B">
            <w:r w:rsidRPr="004870C7">
              <w:rPr>
                <w:i/>
              </w:rPr>
              <w:t>UNFCCC methodology for NC/BTR development</w:t>
            </w:r>
          </w:p>
        </w:tc>
        <w:tc>
          <w:tcPr>
            <w:tcW w:w="982" w:type="dxa"/>
            <w:shd w:val="clear" w:color="auto" w:fill="auto"/>
          </w:tcPr>
          <w:p w14:paraId="16BF009D" w14:textId="0A031DD3" w:rsidR="00555BEB" w:rsidRPr="004870C7" w:rsidRDefault="00555BEB" w:rsidP="00555BEB">
            <w:r w:rsidRPr="004870C7">
              <w:t xml:space="preserve">Regular Status Survey on NCs/BTRs implementation are filled in annually.  </w:t>
            </w:r>
          </w:p>
          <w:p w14:paraId="399239FE" w14:textId="542B2889" w:rsidR="00C46676" w:rsidRPr="004870C7" w:rsidRDefault="00C46676" w:rsidP="0032777B"/>
        </w:tc>
        <w:tc>
          <w:tcPr>
            <w:tcW w:w="1305" w:type="dxa"/>
            <w:shd w:val="clear" w:color="auto" w:fill="auto"/>
          </w:tcPr>
          <w:p w14:paraId="39C7AAA7" w14:textId="77777777" w:rsidR="00C46676" w:rsidRPr="004870C7" w:rsidRDefault="00C46676" w:rsidP="0032777B">
            <w:r w:rsidRPr="004870C7">
              <w:t>IP</w:t>
            </w:r>
          </w:p>
        </w:tc>
        <w:tc>
          <w:tcPr>
            <w:tcW w:w="1052" w:type="dxa"/>
            <w:shd w:val="clear" w:color="auto" w:fill="auto"/>
          </w:tcPr>
          <w:p w14:paraId="3BEA994B" w14:textId="77777777" w:rsidR="00C46676" w:rsidRPr="004870C7" w:rsidRDefault="00C46676" w:rsidP="0032777B">
            <w:r w:rsidRPr="004870C7">
              <w:t>UNFCCC web site</w:t>
            </w:r>
          </w:p>
        </w:tc>
        <w:tc>
          <w:tcPr>
            <w:tcW w:w="1611" w:type="dxa"/>
            <w:shd w:val="clear" w:color="auto" w:fill="auto"/>
          </w:tcPr>
          <w:p w14:paraId="320796CF" w14:textId="77777777" w:rsidR="00C46676" w:rsidRPr="004870C7" w:rsidRDefault="00C46676" w:rsidP="0032777B">
            <w:r w:rsidRPr="004870C7">
              <w:t>Lack of relevant gender disaggregated data and lack of relevant national expertise within institutions</w:t>
            </w:r>
          </w:p>
        </w:tc>
      </w:tr>
      <w:tr w:rsidR="00DF65C8" w:rsidRPr="004870C7" w14:paraId="0B527678" w14:textId="77777777" w:rsidTr="00C46676">
        <w:trPr>
          <w:trHeight w:val="424"/>
        </w:trPr>
        <w:tc>
          <w:tcPr>
            <w:tcW w:w="1728" w:type="dxa"/>
            <w:shd w:val="clear" w:color="auto" w:fill="auto"/>
          </w:tcPr>
          <w:p w14:paraId="44336F33" w14:textId="1E77824C" w:rsidR="00C46676" w:rsidRPr="004870C7" w:rsidRDefault="00C46676" w:rsidP="0032777B">
            <w:pPr>
              <w:rPr>
                <w:b/>
              </w:rPr>
            </w:pPr>
            <w:r w:rsidRPr="004870C7">
              <w:rPr>
                <w:b/>
              </w:rPr>
              <w:t xml:space="preserve">Project Outcome </w:t>
            </w:r>
            <w:r w:rsidR="000B4E65" w:rsidRPr="004870C7">
              <w:rPr>
                <w:b/>
              </w:rPr>
              <w:t>1.</w:t>
            </w:r>
            <w:r w:rsidRPr="004870C7">
              <w:rPr>
                <w:b/>
              </w:rPr>
              <w:t>3</w:t>
            </w:r>
          </w:p>
          <w:p w14:paraId="043DCE73" w14:textId="77777777" w:rsidR="00C46676" w:rsidRPr="004870C7" w:rsidRDefault="00C46676" w:rsidP="0032777B">
            <w:pPr>
              <w:spacing w:after="0"/>
            </w:pPr>
            <w:r w:rsidRPr="004870C7">
              <w:t>Other relevant</w:t>
            </w:r>
          </w:p>
          <w:p w14:paraId="5225B9DD" w14:textId="77777777" w:rsidR="00C46676" w:rsidRPr="004870C7" w:rsidRDefault="00C46676" w:rsidP="0032777B">
            <w:pPr>
              <w:spacing w:after="0"/>
            </w:pPr>
            <w:r w:rsidRPr="004870C7">
              <w:t>information described</w:t>
            </w:r>
          </w:p>
          <w:p w14:paraId="0C5833F2" w14:textId="77777777" w:rsidR="00C46676" w:rsidRPr="004870C7" w:rsidRDefault="00C46676" w:rsidP="0032777B">
            <w:pPr>
              <w:spacing w:after="0"/>
            </w:pPr>
            <w:r w:rsidRPr="004870C7">
              <w:t>(research/systematic</w:t>
            </w:r>
          </w:p>
          <w:p w14:paraId="2ECD8A88" w14:textId="77777777" w:rsidR="00C46676" w:rsidRPr="004870C7" w:rsidRDefault="00C46676" w:rsidP="0032777B">
            <w:pPr>
              <w:spacing w:after="0"/>
            </w:pPr>
            <w:r w:rsidRPr="004870C7">
              <w:t>observation, technology transfer, education,</w:t>
            </w:r>
          </w:p>
          <w:p w14:paraId="1E483F0D" w14:textId="77777777" w:rsidR="00C46676" w:rsidRPr="004870C7" w:rsidRDefault="00C46676" w:rsidP="0032777B">
            <w:pPr>
              <w:spacing w:after="0"/>
            </w:pPr>
            <w:r w:rsidRPr="004870C7">
              <w:t>public awareness,</w:t>
            </w:r>
          </w:p>
          <w:p w14:paraId="54A79FAD" w14:textId="77777777" w:rsidR="00C46676" w:rsidRPr="004870C7" w:rsidRDefault="00C46676" w:rsidP="0032777B">
            <w:pPr>
              <w:spacing w:after="0"/>
            </w:pPr>
            <w:r w:rsidRPr="004870C7">
              <w:t>capacity building,</w:t>
            </w:r>
          </w:p>
          <w:p w14:paraId="3DA59467" w14:textId="77777777" w:rsidR="00C46676" w:rsidRPr="004870C7" w:rsidRDefault="00C46676" w:rsidP="0032777B">
            <w:pPr>
              <w:spacing w:after="0"/>
              <w:rPr>
                <w:b/>
              </w:rPr>
            </w:pPr>
            <w:r w:rsidRPr="004870C7">
              <w:t>constraints and gaps)</w:t>
            </w:r>
          </w:p>
        </w:tc>
        <w:tc>
          <w:tcPr>
            <w:tcW w:w="1527" w:type="dxa"/>
            <w:shd w:val="clear" w:color="auto" w:fill="auto"/>
          </w:tcPr>
          <w:p w14:paraId="143B041E" w14:textId="1D24B117" w:rsidR="00C46676" w:rsidRPr="004870C7" w:rsidRDefault="00C46676" w:rsidP="0032777B">
            <w:pPr>
              <w:rPr>
                <w:b/>
                <w:i/>
              </w:rPr>
            </w:pPr>
            <w:r w:rsidRPr="004870C7">
              <w:rPr>
                <w:b/>
                <w:i/>
              </w:rPr>
              <w:t>Indicator 6</w:t>
            </w:r>
          </w:p>
          <w:p w14:paraId="3719BE6D" w14:textId="77777777" w:rsidR="00C46676" w:rsidRPr="004870C7" w:rsidRDefault="00C46676" w:rsidP="0032777B">
            <w:pPr>
              <w:rPr>
                <w:b/>
                <w:i/>
              </w:rPr>
            </w:pPr>
            <w:r w:rsidRPr="004870C7">
              <w:rPr>
                <w:bCs/>
                <w:iCs/>
              </w:rPr>
              <w:t>Information on financial resources, technology transfer, capacity building and technical support received collected</w:t>
            </w:r>
          </w:p>
          <w:p w14:paraId="71AB3908" w14:textId="77777777" w:rsidR="00C46676" w:rsidRPr="004870C7" w:rsidRDefault="00C46676" w:rsidP="0032777B"/>
        </w:tc>
        <w:tc>
          <w:tcPr>
            <w:tcW w:w="1263" w:type="dxa"/>
          </w:tcPr>
          <w:p w14:paraId="4F488243" w14:textId="6D436AA6" w:rsidR="00966A82" w:rsidRPr="004870C7" w:rsidRDefault="00881A78" w:rsidP="00966A82">
            <w:pPr>
              <w:rPr>
                <w:b/>
                <w:i/>
              </w:rPr>
            </w:pPr>
            <w:r>
              <w:rPr>
                <w:bCs/>
                <w:iCs/>
              </w:rPr>
              <w:t>Updated i</w:t>
            </w:r>
            <w:r w:rsidR="00966A82" w:rsidRPr="004870C7">
              <w:rPr>
                <w:bCs/>
                <w:iCs/>
              </w:rPr>
              <w:t>nformation on financial resources, technology transfer, capacity building and technical support received collected as inputs for the first chapter</w:t>
            </w:r>
          </w:p>
          <w:p w14:paraId="50B7D527" w14:textId="6C1DD385" w:rsidR="00C46676" w:rsidRPr="004870C7" w:rsidRDefault="00C46676" w:rsidP="0032777B">
            <w:pPr>
              <w:rPr>
                <w:i/>
              </w:rPr>
            </w:pPr>
          </w:p>
        </w:tc>
        <w:tc>
          <w:tcPr>
            <w:tcW w:w="1729" w:type="dxa"/>
          </w:tcPr>
          <w:p w14:paraId="37790CB7" w14:textId="77777777" w:rsidR="00C46676" w:rsidRPr="004870C7" w:rsidRDefault="00C46676" w:rsidP="0032777B">
            <w:r w:rsidRPr="004870C7">
              <w:rPr>
                <w:bCs/>
                <w:iCs/>
              </w:rPr>
              <w:lastRenderedPageBreak/>
              <w:t>Information on financial resources, technology transfer, capacity building and technical support received collected as input for the first chapter of the report</w:t>
            </w:r>
          </w:p>
        </w:tc>
        <w:tc>
          <w:tcPr>
            <w:tcW w:w="1758" w:type="dxa"/>
            <w:shd w:val="clear" w:color="auto" w:fill="auto"/>
          </w:tcPr>
          <w:p w14:paraId="39E99043" w14:textId="77777777" w:rsidR="00C46676" w:rsidRPr="004870C7" w:rsidRDefault="00C46676" w:rsidP="0032777B">
            <w:r w:rsidRPr="004870C7">
              <w:rPr>
                <w:i/>
              </w:rPr>
              <w:t>UNFCCC methodology for NC/BTR development</w:t>
            </w:r>
          </w:p>
        </w:tc>
        <w:tc>
          <w:tcPr>
            <w:tcW w:w="982" w:type="dxa"/>
            <w:shd w:val="clear" w:color="auto" w:fill="auto"/>
          </w:tcPr>
          <w:p w14:paraId="3A0720CB" w14:textId="2B19766F" w:rsidR="00555BEB" w:rsidRPr="004870C7" w:rsidRDefault="00555BEB" w:rsidP="00555BEB">
            <w:r w:rsidRPr="004870C7">
              <w:t xml:space="preserve">Regular Status Survey on NCs/BTRs implementation are filled in annually.  </w:t>
            </w:r>
          </w:p>
          <w:p w14:paraId="505034A1" w14:textId="38874FA4" w:rsidR="00C46676" w:rsidRPr="004870C7" w:rsidRDefault="00C46676" w:rsidP="0032777B"/>
        </w:tc>
        <w:tc>
          <w:tcPr>
            <w:tcW w:w="1305" w:type="dxa"/>
            <w:shd w:val="clear" w:color="auto" w:fill="auto"/>
          </w:tcPr>
          <w:p w14:paraId="2FFFD99C" w14:textId="77777777" w:rsidR="00C46676" w:rsidRPr="004870C7" w:rsidRDefault="00C46676" w:rsidP="0032777B">
            <w:r w:rsidRPr="004870C7">
              <w:rPr>
                <w:i/>
              </w:rPr>
              <w:t>IP</w:t>
            </w:r>
          </w:p>
        </w:tc>
        <w:tc>
          <w:tcPr>
            <w:tcW w:w="1052" w:type="dxa"/>
            <w:shd w:val="clear" w:color="auto" w:fill="auto"/>
          </w:tcPr>
          <w:p w14:paraId="054BF657" w14:textId="77777777" w:rsidR="00C46676" w:rsidRPr="004870C7" w:rsidRDefault="00C46676" w:rsidP="0032777B">
            <w:r w:rsidRPr="004870C7">
              <w:t>UNFCCC web site</w:t>
            </w:r>
          </w:p>
        </w:tc>
        <w:tc>
          <w:tcPr>
            <w:tcW w:w="1611" w:type="dxa"/>
            <w:shd w:val="clear" w:color="auto" w:fill="auto"/>
          </w:tcPr>
          <w:p w14:paraId="4E3611B7" w14:textId="77777777" w:rsidR="00C46676" w:rsidRPr="004870C7" w:rsidRDefault="00C46676" w:rsidP="0032777B">
            <w:r w:rsidRPr="004870C7">
              <w:t xml:space="preserve">Lack of data, especially related to the support received. </w:t>
            </w:r>
          </w:p>
        </w:tc>
      </w:tr>
      <w:tr w:rsidR="00DF65C8" w:rsidRPr="004870C7" w14:paraId="2F48BD23" w14:textId="77777777" w:rsidTr="00C46676">
        <w:trPr>
          <w:trHeight w:val="424"/>
        </w:trPr>
        <w:tc>
          <w:tcPr>
            <w:tcW w:w="1728" w:type="dxa"/>
            <w:shd w:val="clear" w:color="auto" w:fill="auto"/>
          </w:tcPr>
          <w:p w14:paraId="75979D07" w14:textId="0412A04D" w:rsidR="00C46676" w:rsidRPr="004870C7" w:rsidRDefault="00C46676" w:rsidP="0032777B">
            <w:pPr>
              <w:rPr>
                <w:b/>
              </w:rPr>
            </w:pPr>
            <w:r w:rsidRPr="004870C7">
              <w:rPr>
                <w:b/>
              </w:rPr>
              <w:t xml:space="preserve">Project Outcome </w:t>
            </w:r>
            <w:r w:rsidR="000B4E65" w:rsidRPr="004870C7">
              <w:rPr>
                <w:b/>
              </w:rPr>
              <w:t>2.1</w:t>
            </w:r>
          </w:p>
          <w:p w14:paraId="547001AA" w14:textId="77777777" w:rsidR="00C46676" w:rsidRPr="004870C7" w:rsidRDefault="00C46676" w:rsidP="0032777B">
            <w:r w:rsidRPr="004870C7">
              <w:t>The comprehensive national system for preparation of GHG emission inventories</w:t>
            </w:r>
          </w:p>
        </w:tc>
        <w:tc>
          <w:tcPr>
            <w:tcW w:w="1527" w:type="dxa"/>
            <w:shd w:val="clear" w:color="auto" w:fill="auto"/>
          </w:tcPr>
          <w:p w14:paraId="67FCB4CA" w14:textId="5D0706EC" w:rsidR="00C46676" w:rsidRPr="004870C7" w:rsidRDefault="00C46676" w:rsidP="0032777B">
            <w:pPr>
              <w:rPr>
                <w:b/>
                <w:i/>
              </w:rPr>
            </w:pPr>
            <w:r w:rsidRPr="004870C7">
              <w:rPr>
                <w:b/>
                <w:i/>
              </w:rPr>
              <w:t>Indicator 7</w:t>
            </w:r>
          </w:p>
          <w:p w14:paraId="64B0A802" w14:textId="77777777" w:rsidR="00C46676" w:rsidRPr="004870C7" w:rsidRDefault="00C46676" w:rsidP="0032777B">
            <w:r w:rsidRPr="004870C7">
              <w:rPr>
                <w:b/>
                <w:i/>
              </w:rPr>
              <w:t xml:space="preserve"> </w:t>
            </w:r>
            <w:r w:rsidRPr="004870C7">
              <w:rPr>
                <w:i/>
                <w:iCs/>
              </w:rPr>
              <w:t>GHG inventory data improved, and QA/QC plan implemented</w:t>
            </w:r>
          </w:p>
        </w:tc>
        <w:tc>
          <w:tcPr>
            <w:tcW w:w="1263" w:type="dxa"/>
          </w:tcPr>
          <w:p w14:paraId="682A53E1" w14:textId="79B3008A" w:rsidR="000B4E65" w:rsidRPr="004870C7" w:rsidRDefault="000B4E65" w:rsidP="0032777B">
            <w:pPr>
              <w:rPr>
                <w:i/>
              </w:rPr>
            </w:pPr>
            <w:r w:rsidRPr="004870C7">
              <w:rPr>
                <w:i/>
              </w:rPr>
              <w:t>GHG inventory data improved,</w:t>
            </w:r>
            <w:r w:rsidR="00C5129F">
              <w:rPr>
                <w:i/>
              </w:rPr>
              <w:t xml:space="preserve"> </w:t>
            </w:r>
            <w:r w:rsidR="00C5129F" w:rsidRPr="00C5129F">
              <w:rPr>
                <w:i/>
              </w:rPr>
              <w:t>national emission factors used within input data for 2020-2022</w:t>
            </w:r>
            <w:r w:rsidRPr="004870C7">
              <w:rPr>
                <w:i/>
              </w:rPr>
              <w:t>and QA/QC plan implemented</w:t>
            </w:r>
          </w:p>
        </w:tc>
        <w:tc>
          <w:tcPr>
            <w:tcW w:w="1729" w:type="dxa"/>
          </w:tcPr>
          <w:p w14:paraId="3AE0C1F2" w14:textId="77777777" w:rsidR="00C46676" w:rsidRPr="004870C7" w:rsidRDefault="00C46676" w:rsidP="0032777B">
            <w:r w:rsidRPr="004870C7">
              <w:rPr>
                <w:bCs/>
                <w:iCs/>
              </w:rPr>
              <w:t>National emission factors used within input data for 2020 and 2021 whenever possible</w:t>
            </w:r>
          </w:p>
        </w:tc>
        <w:tc>
          <w:tcPr>
            <w:tcW w:w="1758" w:type="dxa"/>
            <w:shd w:val="clear" w:color="auto" w:fill="auto"/>
          </w:tcPr>
          <w:p w14:paraId="5B7D2745" w14:textId="77777777" w:rsidR="00C46676" w:rsidRPr="004870C7" w:rsidRDefault="00C46676" w:rsidP="0032777B">
            <w:r w:rsidRPr="004870C7">
              <w:t>IPCC 2006 Guideline and 2019 Refinement to the extent possible</w:t>
            </w:r>
          </w:p>
        </w:tc>
        <w:tc>
          <w:tcPr>
            <w:tcW w:w="982" w:type="dxa"/>
            <w:shd w:val="clear" w:color="auto" w:fill="auto"/>
          </w:tcPr>
          <w:p w14:paraId="16911157" w14:textId="2EEDF3E9" w:rsidR="00555BEB" w:rsidRPr="004870C7" w:rsidRDefault="00555BEB" w:rsidP="00555BEB">
            <w:r w:rsidRPr="004870C7">
              <w:t xml:space="preserve">Regular Status Survey on NCs/BTRs implementation are filled in annually.  </w:t>
            </w:r>
          </w:p>
          <w:p w14:paraId="6B587168" w14:textId="3E81D9E6" w:rsidR="00C46676" w:rsidRPr="004870C7" w:rsidRDefault="00C46676" w:rsidP="0032777B"/>
        </w:tc>
        <w:tc>
          <w:tcPr>
            <w:tcW w:w="1305" w:type="dxa"/>
            <w:shd w:val="clear" w:color="auto" w:fill="auto"/>
          </w:tcPr>
          <w:p w14:paraId="3B039FD6" w14:textId="77777777" w:rsidR="00C46676" w:rsidRPr="004870C7" w:rsidRDefault="00C46676" w:rsidP="0032777B">
            <w:r w:rsidRPr="004870C7">
              <w:t>EPA/MONSTAT</w:t>
            </w:r>
          </w:p>
        </w:tc>
        <w:tc>
          <w:tcPr>
            <w:tcW w:w="1052" w:type="dxa"/>
            <w:shd w:val="clear" w:color="auto" w:fill="auto"/>
          </w:tcPr>
          <w:p w14:paraId="1517B4BA" w14:textId="77777777" w:rsidR="00C46676" w:rsidRPr="004870C7" w:rsidRDefault="00C46676" w:rsidP="0032777B">
            <w:r w:rsidRPr="004870C7">
              <w:t>UNFCCC web site</w:t>
            </w:r>
          </w:p>
        </w:tc>
        <w:tc>
          <w:tcPr>
            <w:tcW w:w="1611" w:type="dxa"/>
            <w:shd w:val="clear" w:color="auto" w:fill="auto"/>
          </w:tcPr>
          <w:p w14:paraId="497D1132" w14:textId="77777777" w:rsidR="00C46676" w:rsidRPr="004870C7" w:rsidRDefault="00C46676" w:rsidP="0032777B">
            <w:r w:rsidRPr="004870C7">
              <w:t>Low capacities of GHG inventory unit within EPA, as well as MONSTAT staff, to collect relevant data as per IPCC 2006 guidelines.</w:t>
            </w:r>
          </w:p>
          <w:p w14:paraId="5E098BE5" w14:textId="77777777" w:rsidR="00C46676" w:rsidRPr="004870C7" w:rsidRDefault="00C46676" w:rsidP="0032777B">
            <w:r w:rsidRPr="004870C7">
              <w:t>Possible support of international experts envisaged.</w:t>
            </w:r>
          </w:p>
        </w:tc>
      </w:tr>
      <w:tr w:rsidR="00DF65C8" w:rsidRPr="004870C7" w14:paraId="20B7CD34" w14:textId="77777777" w:rsidTr="00C46676">
        <w:trPr>
          <w:trHeight w:val="424"/>
        </w:trPr>
        <w:tc>
          <w:tcPr>
            <w:tcW w:w="1728" w:type="dxa"/>
            <w:shd w:val="clear" w:color="auto" w:fill="auto"/>
            <w:vAlign w:val="center"/>
          </w:tcPr>
          <w:p w14:paraId="148CC59A" w14:textId="51595C73" w:rsidR="00C46676" w:rsidRPr="004870C7" w:rsidRDefault="00C46676" w:rsidP="0032777B">
            <w:pPr>
              <w:rPr>
                <w:b/>
              </w:rPr>
            </w:pPr>
            <w:r w:rsidRPr="004870C7">
              <w:rPr>
                <w:b/>
              </w:rPr>
              <w:t xml:space="preserve">Project Outcome </w:t>
            </w:r>
            <w:r w:rsidR="000B4E65" w:rsidRPr="004870C7">
              <w:rPr>
                <w:b/>
              </w:rPr>
              <w:t>2.2</w:t>
            </w:r>
          </w:p>
          <w:p w14:paraId="77856F45" w14:textId="77777777" w:rsidR="00C46676" w:rsidRPr="004870C7" w:rsidRDefault="00C46676" w:rsidP="0032777B">
            <w:r w:rsidRPr="004870C7">
              <w:t>The national capacities enhancement for GHG inventory preparation and management</w:t>
            </w:r>
          </w:p>
          <w:p w14:paraId="550AB176" w14:textId="77777777" w:rsidR="00C46676" w:rsidRPr="004870C7" w:rsidRDefault="00C46676" w:rsidP="0032777B">
            <w:pPr>
              <w:rPr>
                <w:b/>
              </w:rPr>
            </w:pPr>
          </w:p>
        </w:tc>
        <w:tc>
          <w:tcPr>
            <w:tcW w:w="1527" w:type="dxa"/>
            <w:shd w:val="clear" w:color="auto" w:fill="auto"/>
          </w:tcPr>
          <w:p w14:paraId="1646DE67" w14:textId="571331F6" w:rsidR="00C46676" w:rsidRPr="004870C7" w:rsidRDefault="00C46676" w:rsidP="0032777B">
            <w:pPr>
              <w:rPr>
                <w:b/>
                <w:i/>
              </w:rPr>
            </w:pPr>
            <w:r w:rsidRPr="004870C7">
              <w:rPr>
                <w:b/>
                <w:i/>
              </w:rPr>
              <w:t>Indicator 8</w:t>
            </w:r>
          </w:p>
          <w:p w14:paraId="37CEC36D" w14:textId="77777777" w:rsidR="00C46676" w:rsidRPr="004870C7" w:rsidRDefault="00C46676" w:rsidP="0032777B">
            <w:pPr>
              <w:rPr>
                <w:b/>
                <w:i/>
              </w:rPr>
            </w:pPr>
            <w:r w:rsidRPr="004870C7">
              <w:rPr>
                <w:i/>
                <w:iCs/>
              </w:rPr>
              <w:t>National GHG Inventory developed in accordance with 2006</w:t>
            </w:r>
            <w:r w:rsidRPr="004870C7">
              <w:rPr>
                <w:b/>
                <w:bCs/>
                <w:i/>
                <w:iCs/>
              </w:rPr>
              <w:t xml:space="preserve"> </w:t>
            </w:r>
            <w:r w:rsidRPr="004870C7">
              <w:rPr>
                <w:i/>
                <w:iCs/>
              </w:rPr>
              <w:t>IPCC Guidelines</w:t>
            </w:r>
          </w:p>
        </w:tc>
        <w:tc>
          <w:tcPr>
            <w:tcW w:w="1263" w:type="dxa"/>
          </w:tcPr>
          <w:p w14:paraId="122BF44F" w14:textId="77777777" w:rsidR="00C46676" w:rsidRPr="004870C7" w:rsidRDefault="00C46676" w:rsidP="0032777B">
            <w:pPr>
              <w:rPr>
                <w:i/>
              </w:rPr>
            </w:pPr>
            <w:r w:rsidRPr="004870C7">
              <w:rPr>
                <w:i/>
              </w:rPr>
              <w:t>GHG inventory updated for additional years: 2020-2022</w:t>
            </w:r>
          </w:p>
        </w:tc>
        <w:tc>
          <w:tcPr>
            <w:tcW w:w="1729" w:type="dxa"/>
          </w:tcPr>
          <w:p w14:paraId="3B4827A8" w14:textId="77777777" w:rsidR="00C46676" w:rsidRPr="004870C7" w:rsidRDefault="00C46676" w:rsidP="0032777B">
            <w:pPr>
              <w:rPr>
                <w:i/>
              </w:rPr>
            </w:pPr>
            <w:r w:rsidRPr="004870C7">
              <w:t>EPA and MONSTAT to update GHG inventory with three additional years and recalculation of previous time series where needed</w:t>
            </w:r>
          </w:p>
        </w:tc>
        <w:tc>
          <w:tcPr>
            <w:tcW w:w="1758" w:type="dxa"/>
            <w:shd w:val="clear" w:color="auto" w:fill="auto"/>
          </w:tcPr>
          <w:p w14:paraId="5A263145" w14:textId="77777777" w:rsidR="00C46676" w:rsidRPr="004870C7" w:rsidRDefault="00C46676" w:rsidP="0032777B">
            <w:pPr>
              <w:rPr>
                <w:i/>
              </w:rPr>
            </w:pPr>
            <w:r w:rsidRPr="004870C7">
              <w:t>IPCC 2006 Guideline and 2019 Refinement to the extent possible</w:t>
            </w:r>
          </w:p>
        </w:tc>
        <w:tc>
          <w:tcPr>
            <w:tcW w:w="982" w:type="dxa"/>
            <w:shd w:val="clear" w:color="auto" w:fill="auto"/>
          </w:tcPr>
          <w:p w14:paraId="4A3507E6" w14:textId="77777777" w:rsidR="00555BEB" w:rsidRPr="004870C7" w:rsidRDefault="00555BEB" w:rsidP="00555BEB">
            <w:r w:rsidRPr="004870C7">
              <w:t xml:space="preserve">Regular Status Survey on NCs/BTRs implementation are filled in at least annually.  </w:t>
            </w:r>
          </w:p>
          <w:p w14:paraId="063D0AB9" w14:textId="565306B4" w:rsidR="00C46676" w:rsidRPr="004870C7" w:rsidRDefault="00C46676" w:rsidP="0032777B">
            <w:pPr>
              <w:rPr>
                <w:i/>
              </w:rPr>
            </w:pPr>
          </w:p>
        </w:tc>
        <w:tc>
          <w:tcPr>
            <w:tcW w:w="1305" w:type="dxa"/>
            <w:shd w:val="clear" w:color="auto" w:fill="auto"/>
          </w:tcPr>
          <w:p w14:paraId="6ED108D6" w14:textId="77777777" w:rsidR="00C46676" w:rsidRPr="004870C7" w:rsidRDefault="00C46676" w:rsidP="0032777B">
            <w:pPr>
              <w:rPr>
                <w:i/>
              </w:rPr>
            </w:pPr>
            <w:r w:rsidRPr="004870C7">
              <w:t>EPA/MONSTAT</w:t>
            </w:r>
          </w:p>
        </w:tc>
        <w:tc>
          <w:tcPr>
            <w:tcW w:w="1052" w:type="dxa"/>
            <w:shd w:val="clear" w:color="auto" w:fill="auto"/>
          </w:tcPr>
          <w:p w14:paraId="644CEB55" w14:textId="77777777" w:rsidR="00C46676" w:rsidRPr="004870C7" w:rsidRDefault="00C46676" w:rsidP="0032777B">
            <w:pPr>
              <w:rPr>
                <w:i/>
              </w:rPr>
            </w:pPr>
            <w:r w:rsidRPr="004870C7">
              <w:t>UNFCCC web site</w:t>
            </w:r>
          </w:p>
        </w:tc>
        <w:tc>
          <w:tcPr>
            <w:tcW w:w="1611" w:type="dxa"/>
            <w:shd w:val="clear" w:color="auto" w:fill="auto"/>
          </w:tcPr>
          <w:p w14:paraId="75ED03CD" w14:textId="77777777" w:rsidR="00C46676" w:rsidRPr="004870C7" w:rsidRDefault="00C46676" w:rsidP="0032777B">
            <w:pPr>
              <w:rPr>
                <w:i/>
              </w:rPr>
            </w:pPr>
          </w:p>
        </w:tc>
      </w:tr>
      <w:tr w:rsidR="00DF65C8" w:rsidRPr="004870C7" w14:paraId="1EB88066" w14:textId="77777777" w:rsidTr="00C46676">
        <w:trPr>
          <w:trHeight w:val="424"/>
        </w:trPr>
        <w:tc>
          <w:tcPr>
            <w:tcW w:w="1728" w:type="dxa"/>
            <w:shd w:val="clear" w:color="auto" w:fill="auto"/>
            <w:vAlign w:val="center"/>
          </w:tcPr>
          <w:p w14:paraId="464815F0" w14:textId="689726F9" w:rsidR="00C46676" w:rsidRPr="004870C7" w:rsidRDefault="00C46676" w:rsidP="0032777B">
            <w:pPr>
              <w:rPr>
                <w:b/>
              </w:rPr>
            </w:pPr>
            <w:r w:rsidRPr="004870C7">
              <w:rPr>
                <w:b/>
              </w:rPr>
              <w:t xml:space="preserve">Project Outcome </w:t>
            </w:r>
            <w:r w:rsidR="000B4E65" w:rsidRPr="004870C7">
              <w:rPr>
                <w:b/>
              </w:rPr>
              <w:t>2.3</w:t>
            </w:r>
          </w:p>
          <w:p w14:paraId="567E6E0E" w14:textId="77777777" w:rsidR="00C46676" w:rsidRPr="004870C7" w:rsidRDefault="00C46676" w:rsidP="0032777B">
            <w:r w:rsidRPr="004870C7">
              <w:t xml:space="preserve">Reporting on national sectorial </w:t>
            </w:r>
            <w:r w:rsidRPr="004870C7">
              <w:lastRenderedPageBreak/>
              <w:t>inventories for emissions by sources and removal by sinks of all GHGs</w:t>
            </w:r>
          </w:p>
          <w:p w14:paraId="4B50EF12" w14:textId="77777777" w:rsidR="00C46676" w:rsidRPr="004870C7" w:rsidRDefault="00C46676" w:rsidP="0032777B">
            <w:pPr>
              <w:rPr>
                <w:b/>
              </w:rPr>
            </w:pPr>
          </w:p>
        </w:tc>
        <w:tc>
          <w:tcPr>
            <w:tcW w:w="1527" w:type="dxa"/>
            <w:shd w:val="clear" w:color="auto" w:fill="auto"/>
          </w:tcPr>
          <w:p w14:paraId="7AF05329" w14:textId="78ABD2F8" w:rsidR="00C46676" w:rsidRPr="004870C7" w:rsidRDefault="00C46676" w:rsidP="0032777B">
            <w:pPr>
              <w:rPr>
                <w:b/>
                <w:i/>
              </w:rPr>
            </w:pPr>
            <w:r w:rsidRPr="004870C7">
              <w:rPr>
                <w:b/>
                <w:i/>
              </w:rPr>
              <w:lastRenderedPageBreak/>
              <w:t>Indicator 9</w:t>
            </w:r>
          </w:p>
          <w:p w14:paraId="70B352FD" w14:textId="77777777" w:rsidR="00C46676" w:rsidRPr="004870C7" w:rsidRDefault="00C46676" w:rsidP="0032777B">
            <w:pPr>
              <w:rPr>
                <w:bCs/>
                <w:i/>
                <w:iCs/>
              </w:rPr>
            </w:pPr>
            <w:r w:rsidRPr="004870C7">
              <w:rPr>
                <w:bCs/>
                <w:i/>
                <w:iCs/>
              </w:rPr>
              <w:t xml:space="preserve">National Inventory Report on </w:t>
            </w:r>
            <w:r w:rsidRPr="004870C7">
              <w:rPr>
                <w:bCs/>
                <w:i/>
                <w:iCs/>
              </w:rPr>
              <w:lastRenderedPageBreak/>
              <w:t>anthropogenic GHG emissions by sources and removals by sinks updated with three additional years (2020-2022)</w:t>
            </w:r>
          </w:p>
        </w:tc>
        <w:tc>
          <w:tcPr>
            <w:tcW w:w="1263" w:type="dxa"/>
          </w:tcPr>
          <w:p w14:paraId="2A83A0EF" w14:textId="4367E868" w:rsidR="00C46676" w:rsidRPr="004870C7" w:rsidRDefault="00C46676" w:rsidP="0032777B">
            <w:pPr>
              <w:rPr>
                <w:i/>
              </w:rPr>
            </w:pPr>
            <w:r w:rsidRPr="004870C7">
              <w:rPr>
                <w:i/>
              </w:rPr>
              <w:lastRenderedPageBreak/>
              <w:t>NIR developed</w:t>
            </w:r>
            <w:r w:rsidR="000B4E65" w:rsidRPr="004870C7">
              <w:rPr>
                <w:i/>
              </w:rPr>
              <w:t xml:space="preserve"> up to 2022</w:t>
            </w:r>
          </w:p>
        </w:tc>
        <w:tc>
          <w:tcPr>
            <w:tcW w:w="1729" w:type="dxa"/>
          </w:tcPr>
          <w:p w14:paraId="16C1AF64" w14:textId="77777777" w:rsidR="00C46676" w:rsidRPr="004870C7" w:rsidRDefault="00C46676" w:rsidP="0032777B">
            <w:pPr>
              <w:rPr>
                <w:i/>
              </w:rPr>
            </w:pPr>
            <w:r w:rsidRPr="004870C7">
              <w:rPr>
                <w:i/>
              </w:rPr>
              <w:t xml:space="preserve">National Inventory Report (NIR) developed including relevant </w:t>
            </w:r>
            <w:r w:rsidRPr="004870C7">
              <w:rPr>
                <w:i/>
              </w:rPr>
              <w:lastRenderedPageBreak/>
              <w:t xml:space="preserve">sectors and gasses </w:t>
            </w:r>
          </w:p>
        </w:tc>
        <w:tc>
          <w:tcPr>
            <w:tcW w:w="1758" w:type="dxa"/>
            <w:shd w:val="clear" w:color="auto" w:fill="auto"/>
          </w:tcPr>
          <w:p w14:paraId="1F725C82" w14:textId="77777777" w:rsidR="00C46676" w:rsidRPr="004870C7" w:rsidRDefault="00C46676" w:rsidP="0032777B">
            <w:pPr>
              <w:rPr>
                <w:i/>
              </w:rPr>
            </w:pPr>
            <w:r w:rsidRPr="004870C7">
              <w:rPr>
                <w:i/>
              </w:rPr>
              <w:lastRenderedPageBreak/>
              <w:t>UNFCCC 2006 Guidelines</w:t>
            </w:r>
          </w:p>
        </w:tc>
        <w:tc>
          <w:tcPr>
            <w:tcW w:w="982" w:type="dxa"/>
            <w:shd w:val="clear" w:color="auto" w:fill="auto"/>
          </w:tcPr>
          <w:p w14:paraId="23DAE378" w14:textId="33F6CA2F" w:rsidR="00555BEB" w:rsidRPr="004870C7" w:rsidRDefault="00555BEB" w:rsidP="00555BEB">
            <w:r w:rsidRPr="004870C7">
              <w:t>Regular Status Survey on NCs/BTRs implementati</w:t>
            </w:r>
            <w:r w:rsidRPr="004870C7">
              <w:lastRenderedPageBreak/>
              <w:t xml:space="preserve">on are filled in annually.  </w:t>
            </w:r>
          </w:p>
          <w:p w14:paraId="01539E27" w14:textId="6F7CDA98" w:rsidR="00C46676" w:rsidRPr="004870C7" w:rsidRDefault="00C46676" w:rsidP="0032777B">
            <w:pPr>
              <w:rPr>
                <w:i/>
              </w:rPr>
            </w:pPr>
          </w:p>
        </w:tc>
        <w:tc>
          <w:tcPr>
            <w:tcW w:w="1305" w:type="dxa"/>
            <w:shd w:val="clear" w:color="auto" w:fill="auto"/>
          </w:tcPr>
          <w:p w14:paraId="7FE6F71C" w14:textId="77777777" w:rsidR="00C46676" w:rsidRPr="004870C7" w:rsidRDefault="00C46676" w:rsidP="0032777B">
            <w:pPr>
              <w:rPr>
                <w:i/>
              </w:rPr>
            </w:pPr>
            <w:r w:rsidRPr="004870C7">
              <w:rPr>
                <w:i/>
              </w:rPr>
              <w:lastRenderedPageBreak/>
              <w:t>EPA</w:t>
            </w:r>
          </w:p>
        </w:tc>
        <w:tc>
          <w:tcPr>
            <w:tcW w:w="1052" w:type="dxa"/>
            <w:shd w:val="clear" w:color="auto" w:fill="auto"/>
          </w:tcPr>
          <w:p w14:paraId="5AA2EF2C" w14:textId="77777777" w:rsidR="00C46676" w:rsidRPr="004870C7" w:rsidRDefault="00C46676" w:rsidP="0032777B">
            <w:pPr>
              <w:rPr>
                <w:i/>
              </w:rPr>
            </w:pPr>
            <w:r w:rsidRPr="004870C7">
              <w:rPr>
                <w:i/>
              </w:rPr>
              <w:t>UNFCCC web site</w:t>
            </w:r>
          </w:p>
        </w:tc>
        <w:tc>
          <w:tcPr>
            <w:tcW w:w="1611" w:type="dxa"/>
            <w:shd w:val="clear" w:color="auto" w:fill="auto"/>
          </w:tcPr>
          <w:p w14:paraId="37BE560F" w14:textId="77777777" w:rsidR="00C46676" w:rsidRPr="004870C7" w:rsidRDefault="00C46676" w:rsidP="0032777B">
            <w:pPr>
              <w:rPr>
                <w:i/>
              </w:rPr>
            </w:pPr>
            <w:r w:rsidRPr="004870C7">
              <w:rPr>
                <w:i/>
              </w:rPr>
              <w:t xml:space="preserve">Low capacities of GHG inventory unit within EPA, as </w:t>
            </w:r>
            <w:r w:rsidRPr="004870C7">
              <w:rPr>
                <w:i/>
              </w:rPr>
              <w:lastRenderedPageBreak/>
              <w:t>well as MONSTAT staff, to collect relevant data as per IPCC 2006 guidelines.</w:t>
            </w:r>
          </w:p>
          <w:p w14:paraId="1BF84695" w14:textId="77777777" w:rsidR="00C46676" w:rsidRPr="004870C7" w:rsidRDefault="00C46676" w:rsidP="0032777B">
            <w:pPr>
              <w:rPr>
                <w:i/>
              </w:rPr>
            </w:pPr>
            <w:r w:rsidRPr="004870C7">
              <w:rPr>
                <w:i/>
              </w:rPr>
              <w:t>Possible support of international experts envisaged.</w:t>
            </w:r>
          </w:p>
        </w:tc>
      </w:tr>
      <w:tr w:rsidR="00DF65C8" w:rsidRPr="004870C7" w14:paraId="7F566AFC" w14:textId="77777777" w:rsidTr="00C46676">
        <w:trPr>
          <w:trHeight w:val="424"/>
        </w:trPr>
        <w:tc>
          <w:tcPr>
            <w:tcW w:w="1728" w:type="dxa"/>
            <w:shd w:val="clear" w:color="auto" w:fill="auto"/>
            <w:vAlign w:val="center"/>
          </w:tcPr>
          <w:p w14:paraId="27227A5C" w14:textId="10EC2D51" w:rsidR="00C46676" w:rsidRPr="00BE63F6" w:rsidRDefault="00C46676" w:rsidP="0032777B">
            <w:pPr>
              <w:rPr>
                <w:rFonts w:ascii="Times New Roman" w:hAnsi="Times New Roman"/>
                <w:b/>
                <w:sz w:val="18"/>
                <w:szCs w:val="18"/>
              </w:rPr>
            </w:pPr>
            <w:r w:rsidRPr="00BE63F6">
              <w:rPr>
                <w:b/>
              </w:rPr>
              <w:lastRenderedPageBreak/>
              <w:t xml:space="preserve">Project Outcome </w:t>
            </w:r>
            <w:r w:rsidR="000B4E65" w:rsidRPr="00BE63F6">
              <w:rPr>
                <w:b/>
              </w:rPr>
              <w:t>3.1</w:t>
            </w:r>
            <w:r w:rsidRPr="00BE63F6">
              <w:rPr>
                <w:rFonts w:ascii="Times New Roman" w:hAnsi="Times New Roman"/>
                <w:b/>
                <w:sz w:val="18"/>
                <w:szCs w:val="18"/>
              </w:rPr>
              <w:t xml:space="preserve"> </w:t>
            </w:r>
          </w:p>
          <w:p w14:paraId="70BCE2D3" w14:textId="77777777" w:rsidR="00C46676" w:rsidRPr="004870C7" w:rsidRDefault="00C46676" w:rsidP="0032777B">
            <w:pPr>
              <w:rPr>
                <w:bCs/>
              </w:rPr>
            </w:pPr>
            <w:r w:rsidRPr="004870C7">
              <w:rPr>
                <w:bCs/>
              </w:rPr>
              <w:t>The analysis of policies and measures undertaken by the government to reduce GHG emissions by sector (energy, IPPU, AFOLU and waste) carried out</w:t>
            </w:r>
          </w:p>
        </w:tc>
        <w:tc>
          <w:tcPr>
            <w:tcW w:w="1527" w:type="dxa"/>
            <w:shd w:val="clear" w:color="auto" w:fill="auto"/>
          </w:tcPr>
          <w:p w14:paraId="1956BCD4" w14:textId="36375115" w:rsidR="00C46676" w:rsidRPr="004870C7" w:rsidRDefault="00C46676" w:rsidP="0032777B">
            <w:pPr>
              <w:rPr>
                <w:b/>
                <w:i/>
              </w:rPr>
            </w:pPr>
            <w:r w:rsidRPr="004870C7">
              <w:rPr>
                <w:b/>
                <w:i/>
              </w:rPr>
              <w:t>Indicator 10</w:t>
            </w:r>
          </w:p>
          <w:p w14:paraId="2F96D461" w14:textId="77777777" w:rsidR="00C46676" w:rsidRPr="004870C7" w:rsidRDefault="00C46676" w:rsidP="0032777B">
            <w:pPr>
              <w:rPr>
                <w:bCs/>
                <w:i/>
              </w:rPr>
            </w:pPr>
            <w:r w:rsidRPr="004870C7">
              <w:rPr>
                <w:bCs/>
                <w:i/>
                <w:iCs/>
              </w:rPr>
              <w:t>Analysis of national policies and measures to reduce GHG emissions described</w:t>
            </w:r>
          </w:p>
          <w:p w14:paraId="485E4C07" w14:textId="77777777" w:rsidR="00C46676" w:rsidRPr="004870C7" w:rsidRDefault="00C46676" w:rsidP="0032777B">
            <w:pPr>
              <w:rPr>
                <w:bCs/>
                <w:i/>
              </w:rPr>
            </w:pPr>
          </w:p>
        </w:tc>
        <w:tc>
          <w:tcPr>
            <w:tcW w:w="1263" w:type="dxa"/>
          </w:tcPr>
          <w:p w14:paraId="64978A9F" w14:textId="6BC86CCA" w:rsidR="00C46676" w:rsidRPr="004870C7" w:rsidRDefault="00966A82" w:rsidP="0032777B">
            <w:pPr>
              <w:rPr>
                <w:i/>
              </w:rPr>
            </w:pPr>
            <w:r w:rsidRPr="004870C7">
              <w:rPr>
                <w:i/>
              </w:rPr>
              <w:t xml:space="preserve">Analysis of national </w:t>
            </w:r>
            <w:r w:rsidR="00C46676" w:rsidRPr="004870C7">
              <w:rPr>
                <w:i/>
              </w:rPr>
              <w:t>policies and measures with mitigation potential</w:t>
            </w:r>
            <w:r w:rsidR="000F5802">
              <w:rPr>
                <w:i/>
              </w:rPr>
              <w:t>, including revised NDC</w:t>
            </w:r>
            <w:r w:rsidR="00C46676" w:rsidRPr="004870C7">
              <w:rPr>
                <w:i/>
              </w:rPr>
              <w:t xml:space="preserve"> developed as part of Mitigation Chapter </w:t>
            </w:r>
          </w:p>
        </w:tc>
        <w:tc>
          <w:tcPr>
            <w:tcW w:w="1729" w:type="dxa"/>
          </w:tcPr>
          <w:p w14:paraId="24ADED0D" w14:textId="77777777" w:rsidR="00C46676" w:rsidRPr="004870C7" w:rsidRDefault="00C46676" w:rsidP="0032777B">
            <w:pPr>
              <w:rPr>
                <w:i/>
              </w:rPr>
            </w:pPr>
            <w:r w:rsidRPr="004870C7">
              <w:rPr>
                <w:i/>
              </w:rPr>
              <w:t xml:space="preserve">Mitigation Chapter developed including mitigation policies and measures </w:t>
            </w:r>
          </w:p>
        </w:tc>
        <w:tc>
          <w:tcPr>
            <w:tcW w:w="1758" w:type="dxa"/>
            <w:shd w:val="clear" w:color="auto" w:fill="auto"/>
          </w:tcPr>
          <w:p w14:paraId="3F6BC5CB" w14:textId="77777777" w:rsidR="00C46676" w:rsidRPr="004870C7" w:rsidRDefault="00C46676" w:rsidP="0032777B">
            <w:pPr>
              <w:rPr>
                <w:i/>
              </w:rPr>
            </w:pPr>
            <w:r w:rsidRPr="004870C7">
              <w:rPr>
                <w:i/>
              </w:rPr>
              <w:t>UNFCCC methodology</w:t>
            </w:r>
          </w:p>
        </w:tc>
        <w:tc>
          <w:tcPr>
            <w:tcW w:w="982" w:type="dxa"/>
            <w:shd w:val="clear" w:color="auto" w:fill="auto"/>
          </w:tcPr>
          <w:p w14:paraId="23E9AC73" w14:textId="1F4FACCB" w:rsidR="00555BEB" w:rsidRPr="004870C7" w:rsidRDefault="00555BEB" w:rsidP="00555BEB">
            <w:r w:rsidRPr="004870C7">
              <w:t xml:space="preserve">Regular Status Survey on NCs/BTRs implementation are filled in annually.  </w:t>
            </w:r>
          </w:p>
          <w:p w14:paraId="248FCDD2" w14:textId="1F553BF3" w:rsidR="00C46676" w:rsidRPr="004870C7" w:rsidRDefault="00C46676" w:rsidP="0032777B">
            <w:pPr>
              <w:rPr>
                <w:i/>
              </w:rPr>
            </w:pPr>
          </w:p>
        </w:tc>
        <w:tc>
          <w:tcPr>
            <w:tcW w:w="1305" w:type="dxa"/>
            <w:shd w:val="clear" w:color="auto" w:fill="auto"/>
          </w:tcPr>
          <w:p w14:paraId="3BD7B94C" w14:textId="77777777" w:rsidR="00C46676" w:rsidRPr="004870C7" w:rsidRDefault="00C46676" w:rsidP="0032777B">
            <w:pPr>
              <w:rPr>
                <w:i/>
              </w:rPr>
            </w:pPr>
            <w:r w:rsidRPr="004870C7">
              <w:rPr>
                <w:i/>
              </w:rPr>
              <w:t>IP</w:t>
            </w:r>
          </w:p>
        </w:tc>
        <w:tc>
          <w:tcPr>
            <w:tcW w:w="1052" w:type="dxa"/>
            <w:shd w:val="clear" w:color="auto" w:fill="auto"/>
          </w:tcPr>
          <w:p w14:paraId="5DEC6170" w14:textId="77777777" w:rsidR="00C46676" w:rsidRPr="004870C7" w:rsidRDefault="00C46676" w:rsidP="0032777B">
            <w:pPr>
              <w:rPr>
                <w:i/>
              </w:rPr>
            </w:pPr>
            <w:r w:rsidRPr="004870C7">
              <w:rPr>
                <w:i/>
              </w:rPr>
              <w:t>UNFCCC web site</w:t>
            </w:r>
          </w:p>
        </w:tc>
        <w:tc>
          <w:tcPr>
            <w:tcW w:w="1611" w:type="dxa"/>
            <w:shd w:val="clear" w:color="auto" w:fill="auto"/>
          </w:tcPr>
          <w:p w14:paraId="5062F4CE" w14:textId="77777777" w:rsidR="00C46676" w:rsidRPr="004870C7" w:rsidRDefault="00C46676" w:rsidP="0032777B">
            <w:pPr>
              <w:rPr>
                <w:i/>
              </w:rPr>
            </w:pPr>
          </w:p>
        </w:tc>
      </w:tr>
      <w:tr w:rsidR="00DF65C8" w:rsidRPr="004870C7" w14:paraId="42CF82B7" w14:textId="77777777" w:rsidTr="00C46676">
        <w:trPr>
          <w:trHeight w:val="424"/>
        </w:trPr>
        <w:tc>
          <w:tcPr>
            <w:tcW w:w="1728" w:type="dxa"/>
            <w:shd w:val="clear" w:color="auto" w:fill="auto"/>
            <w:vAlign w:val="center"/>
          </w:tcPr>
          <w:p w14:paraId="315331D2" w14:textId="09BEFD65" w:rsidR="00C46676" w:rsidRPr="004870C7" w:rsidRDefault="00C46676" w:rsidP="0032777B">
            <w:pPr>
              <w:rPr>
                <w:b/>
              </w:rPr>
            </w:pPr>
            <w:r w:rsidRPr="004870C7">
              <w:rPr>
                <w:b/>
              </w:rPr>
              <w:t xml:space="preserve">Project Outcome </w:t>
            </w:r>
            <w:r w:rsidR="000B4E65" w:rsidRPr="004870C7">
              <w:rPr>
                <w:b/>
              </w:rPr>
              <w:t>3.2</w:t>
            </w:r>
          </w:p>
          <w:p w14:paraId="5FAB0AE5" w14:textId="77777777" w:rsidR="00C46676" w:rsidRPr="004870C7" w:rsidRDefault="00C46676" w:rsidP="0032777B">
            <w:r w:rsidRPr="004870C7">
              <w:t xml:space="preserve">The projections of GHG emissions up to 2040, under the Paris Agreement, in the </w:t>
            </w:r>
            <w:r w:rsidRPr="004870C7">
              <w:lastRenderedPageBreak/>
              <w:t>main sectors and NDC roadmap 2025-2030 completed</w:t>
            </w:r>
          </w:p>
        </w:tc>
        <w:tc>
          <w:tcPr>
            <w:tcW w:w="1527" w:type="dxa"/>
            <w:shd w:val="clear" w:color="auto" w:fill="auto"/>
          </w:tcPr>
          <w:p w14:paraId="3FCDE994" w14:textId="22F937D3" w:rsidR="00C46676" w:rsidRPr="004870C7" w:rsidRDefault="00C46676" w:rsidP="0032777B">
            <w:pPr>
              <w:rPr>
                <w:b/>
                <w:i/>
              </w:rPr>
            </w:pPr>
            <w:r w:rsidRPr="004870C7">
              <w:rPr>
                <w:b/>
                <w:i/>
              </w:rPr>
              <w:lastRenderedPageBreak/>
              <w:t>Indicator 11</w:t>
            </w:r>
          </w:p>
          <w:p w14:paraId="5986AC4E" w14:textId="77777777" w:rsidR="00C46676" w:rsidRPr="004870C7" w:rsidRDefault="00C46676" w:rsidP="0032777B">
            <w:pPr>
              <w:rPr>
                <w:i/>
              </w:rPr>
            </w:pPr>
            <w:r w:rsidRPr="004870C7">
              <w:rPr>
                <w:i/>
                <w:iCs/>
              </w:rPr>
              <w:t>GHG emission projections up to 2040 developed</w:t>
            </w:r>
          </w:p>
        </w:tc>
        <w:tc>
          <w:tcPr>
            <w:tcW w:w="1263" w:type="dxa"/>
          </w:tcPr>
          <w:p w14:paraId="1E8D0880" w14:textId="7920D75F" w:rsidR="00C46676" w:rsidRPr="004870C7" w:rsidRDefault="00C46676" w:rsidP="0032777B">
            <w:pPr>
              <w:rPr>
                <w:i/>
              </w:rPr>
            </w:pPr>
            <w:r w:rsidRPr="004870C7">
              <w:rPr>
                <w:i/>
              </w:rPr>
              <w:t>GHG emissions projections up to 2040</w:t>
            </w:r>
            <w:r w:rsidR="00966A82" w:rsidRPr="004870C7">
              <w:rPr>
                <w:i/>
              </w:rPr>
              <w:t xml:space="preserve"> developed, as part of the </w:t>
            </w:r>
            <w:r w:rsidR="00966A82" w:rsidRPr="004870C7">
              <w:rPr>
                <w:i/>
              </w:rPr>
              <w:lastRenderedPageBreak/>
              <w:t>Mitigation Chapter</w:t>
            </w:r>
          </w:p>
        </w:tc>
        <w:tc>
          <w:tcPr>
            <w:tcW w:w="1729" w:type="dxa"/>
          </w:tcPr>
          <w:p w14:paraId="238BDA03" w14:textId="77777777" w:rsidR="00C46676" w:rsidRPr="004870C7" w:rsidRDefault="00C46676" w:rsidP="0032777B">
            <w:pPr>
              <w:rPr>
                <w:i/>
              </w:rPr>
            </w:pPr>
            <w:r w:rsidRPr="004870C7">
              <w:rPr>
                <w:bCs/>
                <w:i/>
                <w:iCs/>
              </w:rPr>
              <w:lastRenderedPageBreak/>
              <w:t>GHG emission projections up to 2040 developed, as part of Mitigation Chapter of the Report</w:t>
            </w:r>
          </w:p>
        </w:tc>
        <w:tc>
          <w:tcPr>
            <w:tcW w:w="1758" w:type="dxa"/>
            <w:shd w:val="clear" w:color="auto" w:fill="auto"/>
          </w:tcPr>
          <w:p w14:paraId="473771D1" w14:textId="77777777" w:rsidR="00C46676" w:rsidRPr="004870C7" w:rsidRDefault="00C46676" w:rsidP="0032777B">
            <w:pPr>
              <w:rPr>
                <w:i/>
              </w:rPr>
            </w:pPr>
            <w:r w:rsidRPr="004870C7">
              <w:rPr>
                <w:i/>
              </w:rPr>
              <w:t xml:space="preserve">Projection tool and UNFCCC methodology </w:t>
            </w:r>
          </w:p>
        </w:tc>
        <w:tc>
          <w:tcPr>
            <w:tcW w:w="982" w:type="dxa"/>
            <w:shd w:val="clear" w:color="auto" w:fill="auto"/>
          </w:tcPr>
          <w:p w14:paraId="74768528" w14:textId="7ED49B9A" w:rsidR="00555BEB" w:rsidRPr="004870C7" w:rsidRDefault="00555BEB" w:rsidP="00555BEB">
            <w:r w:rsidRPr="004870C7">
              <w:t xml:space="preserve">Regular Status Survey on NCs/BTRs implementation are filled in annually.  </w:t>
            </w:r>
          </w:p>
          <w:p w14:paraId="351638C4" w14:textId="56898314" w:rsidR="00C46676" w:rsidRPr="004870C7" w:rsidRDefault="00C46676" w:rsidP="0032777B">
            <w:pPr>
              <w:rPr>
                <w:i/>
              </w:rPr>
            </w:pPr>
          </w:p>
        </w:tc>
        <w:tc>
          <w:tcPr>
            <w:tcW w:w="1305" w:type="dxa"/>
            <w:shd w:val="clear" w:color="auto" w:fill="auto"/>
          </w:tcPr>
          <w:p w14:paraId="308C88E0" w14:textId="77777777" w:rsidR="00C46676" w:rsidRPr="004870C7" w:rsidRDefault="00C46676" w:rsidP="0032777B">
            <w:pPr>
              <w:rPr>
                <w:i/>
              </w:rPr>
            </w:pPr>
            <w:r w:rsidRPr="004870C7">
              <w:rPr>
                <w:i/>
              </w:rPr>
              <w:t>IP</w:t>
            </w:r>
          </w:p>
        </w:tc>
        <w:tc>
          <w:tcPr>
            <w:tcW w:w="1052" w:type="dxa"/>
            <w:shd w:val="clear" w:color="auto" w:fill="auto"/>
          </w:tcPr>
          <w:p w14:paraId="1A6BD2C4" w14:textId="77777777" w:rsidR="00C46676" w:rsidRPr="004870C7" w:rsidRDefault="00C46676" w:rsidP="0032777B">
            <w:pPr>
              <w:rPr>
                <w:i/>
              </w:rPr>
            </w:pPr>
            <w:r w:rsidRPr="004870C7">
              <w:rPr>
                <w:i/>
              </w:rPr>
              <w:t>UNFCCC web site</w:t>
            </w:r>
          </w:p>
        </w:tc>
        <w:tc>
          <w:tcPr>
            <w:tcW w:w="1611" w:type="dxa"/>
            <w:shd w:val="clear" w:color="auto" w:fill="auto"/>
          </w:tcPr>
          <w:p w14:paraId="3581776E" w14:textId="77777777" w:rsidR="00C46676" w:rsidRPr="004870C7" w:rsidRDefault="00C46676" w:rsidP="0032777B">
            <w:pPr>
              <w:rPr>
                <w:i/>
              </w:rPr>
            </w:pPr>
            <w:r w:rsidRPr="004870C7">
              <w:rPr>
                <w:i/>
              </w:rPr>
              <w:t xml:space="preserve">Insufficient technical capacities on national level to evaluate mitigation actions. Possible </w:t>
            </w:r>
            <w:r w:rsidRPr="004870C7">
              <w:rPr>
                <w:i/>
              </w:rPr>
              <w:lastRenderedPageBreak/>
              <w:t>involvement of relevant international experts envisaged.</w:t>
            </w:r>
          </w:p>
        </w:tc>
      </w:tr>
      <w:tr w:rsidR="00DF65C8" w:rsidRPr="004870C7" w14:paraId="5F72800C" w14:textId="77777777" w:rsidTr="00C46676">
        <w:trPr>
          <w:trHeight w:val="424"/>
        </w:trPr>
        <w:tc>
          <w:tcPr>
            <w:tcW w:w="1728" w:type="dxa"/>
            <w:shd w:val="clear" w:color="auto" w:fill="auto"/>
          </w:tcPr>
          <w:p w14:paraId="2DD67276" w14:textId="7F0BC47C" w:rsidR="00C46676" w:rsidRPr="004870C7" w:rsidRDefault="00C46676" w:rsidP="0032777B">
            <w:pPr>
              <w:rPr>
                <w:b/>
              </w:rPr>
            </w:pPr>
            <w:r w:rsidRPr="004870C7">
              <w:rPr>
                <w:b/>
              </w:rPr>
              <w:lastRenderedPageBreak/>
              <w:t xml:space="preserve">Project Outcome </w:t>
            </w:r>
            <w:r w:rsidR="000B4E65" w:rsidRPr="004870C7">
              <w:rPr>
                <w:b/>
              </w:rPr>
              <w:t>3.3</w:t>
            </w:r>
          </w:p>
          <w:p w14:paraId="16F1D364" w14:textId="77777777" w:rsidR="00C46676" w:rsidRPr="004870C7" w:rsidRDefault="00C46676" w:rsidP="0032777B">
            <w:r w:rsidRPr="004870C7">
              <w:t>System for NDC tracking</w:t>
            </w:r>
          </w:p>
          <w:p w14:paraId="5647517C" w14:textId="77777777" w:rsidR="00C46676" w:rsidRPr="004870C7" w:rsidRDefault="00C46676" w:rsidP="0032777B">
            <w:pPr>
              <w:rPr>
                <w:b/>
                <w:i/>
              </w:rPr>
            </w:pPr>
          </w:p>
        </w:tc>
        <w:tc>
          <w:tcPr>
            <w:tcW w:w="1527" w:type="dxa"/>
            <w:shd w:val="clear" w:color="auto" w:fill="auto"/>
          </w:tcPr>
          <w:p w14:paraId="090DD7B2" w14:textId="0E6A67F4" w:rsidR="00C46676" w:rsidRPr="004870C7" w:rsidRDefault="00C46676" w:rsidP="0032777B">
            <w:pPr>
              <w:rPr>
                <w:b/>
                <w:i/>
              </w:rPr>
            </w:pPr>
            <w:r w:rsidRPr="004870C7">
              <w:rPr>
                <w:b/>
                <w:i/>
              </w:rPr>
              <w:t>Indicator 12</w:t>
            </w:r>
          </w:p>
          <w:p w14:paraId="73186C60" w14:textId="77777777" w:rsidR="00C46676" w:rsidRPr="004870C7" w:rsidRDefault="00C46676" w:rsidP="0032777B">
            <w:pPr>
              <w:rPr>
                <w:b/>
                <w:i/>
              </w:rPr>
            </w:pPr>
            <w:r w:rsidRPr="004870C7">
              <w:t>Provide conceptual framework for NDC tracking</w:t>
            </w:r>
          </w:p>
        </w:tc>
        <w:tc>
          <w:tcPr>
            <w:tcW w:w="1263" w:type="dxa"/>
            <w:shd w:val="clear" w:color="auto" w:fill="auto"/>
          </w:tcPr>
          <w:p w14:paraId="0B029F3B" w14:textId="547B30B0" w:rsidR="00C46676" w:rsidRPr="004870C7" w:rsidRDefault="00966A82" w:rsidP="0032777B">
            <w:pPr>
              <w:rPr>
                <w:b/>
                <w:i/>
              </w:rPr>
            </w:pPr>
            <w:r w:rsidRPr="004870C7">
              <w:rPr>
                <w:bCs/>
                <w:i/>
              </w:rPr>
              <w:t>Concept for</w:t>
            </w:r>
            <w:r w:rsidR="00C46676" w:rsidRPr="004870C7">
              <w:rPr>
                <w:b/>
                <w:i/>
              </w:rPr>
              <w:t xml:space="preserve"> </w:t>
            </w:r>
            <w:r w:rsidR="00C46676" w:rsidRPr="004870C7">
              <w:rPr>
                <w:bCs/>
                <w:i/>
              </w:rPr>
              <w:t xml:space="preserve">NDC tracking </w:t>
            </w:r>
            <w:r w:rsidRPr="004870C7">
              <w:rPr>
                <w:bCs/>
                <w:i/>
              </w:rPr>
              <w:t>adopted and presented as part of Mitigation Chapter</w:t>
            </w:r>
          </w:p>
        </w:tc>
        <w:tc>
          <w:tcPr>
            <w:tcW w:w="1729" w:type="dxa"/>
            <w:shd w:val="clear" w:color="auto" w:fill="auto"/>
          </w:tcPr>
          <w:p w14:paraId="7EA353C0" w14:textId="77777777" w:rsidR="00C46676" w:rsidRPr="004870C7" w:rsidRDefault="00C46676" w:rsidP="0032777B">
            <w:pPr>
              <w:rPr>
                <w:b/>
                <w:i/>
                <w:iCs/>
              </w:rPr>
            </w:pPr>
            <w:r w:rsidRPr="004870C7">
              <w:rPr>
                <w:i/>
                <w:iCs/>
              </w:rPr>
              <w:t>Concept for NDC tracking adopted and presented as part of the</w:t>
            </w:r>
            <w:r w:rsidRPr="004870C7">
              <w:rPr>
                <w:b/>
                <w:bCs/>
                <w:i/>
                <w:iCs/>
                <w:sz w:val="18"/>
                <w:szCs w:val="18"/>
              </w:rPr>
              <w:t xml:space="preserve"> </w:t>
            </w:r>
            <w:r w:rsidRPr="004870C7">
              <w:rPr>
                <w:i/>
                <w:iCs/>
              </w:rPr>
              <w:t>Mitigation Chapter of the Report</w:t>
            </w:r>
          </w:p>
        </w:tc>
        <w:tc>
          <w:tcPr>
            <w:tcW w:w="1758" w:type="dxa"/>
            <w:shd w:val="clear" w:color="auto" w:fill="auto"/>
          </w:tcPr>
          <w:p w14:paraId="5AD0EB3A" w14:textId="77777777" w:rsidR="00C46676" w:rsidRPr="004870C7" w:rsidRDefault="00C46676" w:rsidP="0032777B">
            <w:pPr>
              <w:rPr>
                <w:bCs/>
                <w:i/>
              </w:rPr>
            </w:pPr>
            <w:r w:rsidRPr="004870C7">
              <w:rPr>
                <w:bCs/>
                <w:i/>
              </w:rPr>
              <w:t>UNFCCC methodology</w:t>
            </w:r>
          </w:p>
        </w:tc>
        <w:tc>
          <w:tcPr>
            <w:tcW w:w="982" w:type="dxa"/>
            <w:shd w:val="clear" w:color="auto" w:fill="auto"/>
          </w:tcPr>
          <w:p w14:paraId="6E05BC6C" w14:textId="13CDD08D" w:rsidR="00555BEB" w:rsidRPr="004870C7" w:rsidRDefault="00555BEB" w:rsidP="00555BEB">
            <w:r w:rsidRPr="004870C7">
              <w:t xml:space="preserve">Regular Status Survey on NCs/BTRs implementation are filled in annually.  </w:t>
            </w:r>
          </w:p>
          <w:p w14:paraId="1BDD014A" w14:textId="01DF4925" w:rsidR="00C46676" w:rsidRPr="004870C7" w:rsidRDefault="00C46676" w:rsidP="0032777B">
            <w:pPr>
              <w:rPr>
                <w:bCs/>
                <w:i/>
              </w:rPr>
            </w:pPr>
          </w:p>
        </w:tc>
        <w:tc>
          <w:tcPr>
            <w:tcW w:w="1305" w:type="dxa"/>
            <w:shd w:val="clear" w:color="auto" w:fill="auto"/>
          </w:tcPr>
          <w:p w14:paraId="088738F8" w14:textId="77777777" w:rsidR="00C46676" w:rsidRPr="004870C7" w:rsidRDefault="00C46676" w:rsidP="0032777B">
            <w:pPr>
              <w:rPr>
                <w:bCs/>
                <w:i/>
              </w:rPr>
            </w:pPr>
            <w:r w:rsidRPr="004870C7">
              <w:rPr>
                <w:bCs/>
                <w:i/>
              </w:rPr>
              <w:t>IP</w:t>
            </w:r>
          </w:p>
        </w:tc>
        <w:tc>
          <w:tcPr>
            <w:tcW w:w="1052" w:type="dxa"/>
            <w:shd w:val="clear" w:color="auto" w:fill="auto"/>
          </w:tcPr>
          <w:p w14:paraId="46A147B4" w14:textId="77777777" w:rsidR="00C46676" w:rsidRPr="004870C7" w:rsidRDefault="00C46676" w:rsidP="0032777B">
            <w:pPr>
              <w:rPr>
                <w:bCs/>
                <w:i/>
              </w:rPr>
            </w:pPr>
            <w:r w:rsidRPr="004870C7">
              <w:rPr>
                <w:bCs/>
                <w:i/>
              </w:rPr>
              <w:t>UNFCCC web site</w:t>
            </w:r>
          </w:p>
        </w:tc>
        <w:tc>
          <w:tcPr>
            <w:tcW w:w="1611" w:type="dxa"/>
            <w:shd w:val="clear" w:color="auto" w:fill="auto"/>
          </w:tcPr>
          <w:p w14:paraId="3448946A" w14:textId="77777777" w:rsidR="00C46676" w:rsidRPr="004870C7" w:rsidRDefault="00C46676" w:rsidP="0032777B">
            <w:pPr>
              <w:rPr>
                <w:bCs/>
                <w:i/>
              </w:rPr>
            </w:pPr>
            <w:r w:rsidRPr="004870C7">
              <w:rPr>
                <w:bCs/>
                <w:i/>
              </w:rPr>
              <w:t>Lack of relevant expertise and knowledge to establish tracking system</w:t>
            </w:r>
          </w:p>
        </w:tc>
      </w:tr>
      <w:tr w:rsidR="00DF65C8" w:rsidRPr="004870C7" w14:paraId="4D16338E" w14:textId="77777777" w:rsidTr="00C46676">
        <w:trPr>
          <w:trHeight w:val="424"/>
        </w:trPr>
        <w:tc>
          <w:tcPr>
            <w:tcW w:w="1728" w:type="dxa"/>
            <w:shd w:val="clear" w:color="auto" w:fill="auto"/>
          </w:tcPr>
          <w:p w14:paraId="46A72885" w14:textId="017DBD1D" w:rsidR="00C46676" w:rsidRPr="004870C7" w:rsidRDefault="00C46676" w:rsidP="0032777B">
            <w:pPr>
              <w:rPr>
                <w:b/>
                <w:i/>
              </w:rPr>
            </w:pPr>
            <w:r w:rsidRPr="004870C7">
              <w:rPr>
                <w:b/>
                <w:i/>
              </w:rPr>
              <w:t xml:space="preserve">Project Outcome </w:t>
            </w:r>
            <w:r w:rsidR="000B4E65" w:rsidRPr="004870C7">
              <w:rPr>
                <w:b/>
                <w:i/>
              </w:rPr>
              <w:t>4.1</w:t>
            </w:r>
          </w:p>
          <w:p w14:paraId="15CA6031" w14:textId="77777777" w:rsidR="00C46676" w:rsidRPr="004870C7" w:rsidRDefault="00C46676" w:rsidP="0032777B">
            <w:pPr>
              <w:spacing w:after="0"/>
              <w:rPr>
                <w:i/>
              </w:rPr>
            </w:pPr>
            <w:r w:rsidRPr="004870C7">
              <w:rPr>
                <w:i/>
              </w:rPr>
              <w:t>Climate scenarios, socio-economic scenarios</w:t>
            </w:r>
          </w:p>
          <w:p w14:paraId="0FD90488" w14:textId="77777777" w:rsidR="00C46676" w:rsidRPr="004870C7" w:rsidRDefault="00C46676" w:rsidP="0032777B">
            <w:pPr>
              <w:spacing w:after="0"/>
              <w:rPr>
                <w:i/>
              </w:rPr>
            </w:pPr>
            <w:r w:rsidRPr="004870C7">
              <w:rPr>
                <w:i/>
              </w:rPr>
              <w:t>climate change</w:t>
            </w:r>
          </w:p>
          <w:p w14:paraId="138F88E3" w14:textId="77777777" w:rsidR="00C46676" w:rsidRPr="004870C7" w:rsidRDefault="00C46676" w:rsidP="0032777B">
            <w:pPr>
              <w:spacing w:after="0"/>
              <w:rPr>
                <w:i/>
              </w:rPr>
            </w:pPr>
            <w:r w:rsidRPr="004870C7">
              <w:rPr>
                <w:i/>
              </w:rPr>
              <w:t>vulnerability</w:t>
            </w:r>
          </w:p>
          <w:p w14:paraId="048317C7" w14:textId="77777777" w:rsidR="00C46676" w:rsidRPr="004870C7" w:rsidRDefault="00C46676" w:rsidP="0032777B">
            <w:pPr>
              <w:spacing w:after="0"/>
              <w:rPr>
                <w:i/>
              </w:rPr>
            </w:pPr>
            <w:r w:rsidRPr="004870C7">
              <w:rPr>
                <w:i/>
              </w:rPr>
              <w:t>assessment for</w:t>
            </w:r>
          </w:p>
          <w:p w14:paraId="3433E052" w14:textId="77777777" w:rsidR="00C46676" w:rsidRPr="004870C7" w:rsidRDefault="00C46676" w:rsidP="0032777B">
            <w:pPr>
              <w:spacing w:after="0"/>
              <w:rPr>
                <w:i/>
              </w:rPr>
            </w:pPr>
            <w:r w:rsidRPr="004870C7">
              <w:rPr>
                <w:i/>
              </w:rPr>
              <w:t>priority sectors</w:t>
            </w:r>
          </w:p>
          <w:p w14:paraId="45317804" w14:textId="77777777" w:rsidR="00C46676" w:rsidRPr="004870C7" w:rsidRDefault="00C46676" w:rsidP="0032777B">
            <w:pPr>
              <w:spacing w:after="0"/>
              <w:rPr>
                <w:i/>
              </w:rPr>
            </w:pPr>
            <w:r w:rsidRPr="004870C7">
              <w:rPr>
                <w:i/>
              </w:rPr>
              <w:t xml:space="preserve">developed </w:t>
            </w:r>
          </w:p>
          <w:p w14:paraId="15D5FD35" w14:textId="77777777" w:rsidR="00C46676" w:rsidRPr="004870C7" w:rsidRDefault="00C46676" w:rsidP="0032777B">
            <w:pPr>
              <w:spacing w:after="0"/>
              <w:rPr>
                <w:i/>
              </w:rPr>
            </w:pPr>
            <w:r w:rsidRPr="004870C7">
              <w:rPr>
                <w:i/>
              </w:rPr>
              <w:t>and plans and</w:t>
            </w:r>
          </w:p>
          <w:p w14:paraId="4D5FA63B" w14:textId="77777777" w:rsidR="00C46676" w:rsidRPr="004870C7" w:rsidRDefault="00C46676" w:rsidP="0032777B">
            <w:pPr>
              <w:spacing w:after="0"/>
              <w:rPr>
                <w:i/>
              </w:rPr>
            </w:pPr>
            <w:r w:rsidRPr="004870C7">
              <w:rPr>
                <w:i/>
              </w:rPr>
              <w:t>programmes</w:t>
            </w:r>
          </w:p>
          <w:p w14:paraId="69790650" w14:textId="77777777" w:rsidR="00C46676" w:rsidRPr="004870C7" w:rsidRDefault="00C46676" w:rsidP="0032777B">
            <w:pPr>
              <w:spacing w:after="0"/>
              <w:rPr>
                <w:i/>
              </w:rPr>
            </w:pPr>
            <w:r w:rsidRPr="004870C7">
              <w:rPr>
                <w:i/>
              </w:rPr>
              <w:t>proposing measures</w:t>
            </w:r>
          </w:p>
          <w:p w14:paraId="62F425F1" w14:textId="77777777" w:rsidR="00C46676" w:rsidRPr="004870C7" w:rsidRDefault="00C46676" w:rsidP="0032777B">
            <w:pPr>
              <w:spacing w:after="0"/>
              <w:rPr>
                <w:i/>
              </w:rPr>
            </w:pPr>
            <w:r w:rsidRPr="004870C7">
              <w:rPr>
                <w:i/>
              </w:rPr>
              <w:t>to facilitate</w:t>
            </w:r>
          </w:p>
          <w:p w14:paraId="4B608A8F" w14:textId="77777777" w:rsidR="00C46676" w:rsidRPr="004870C7" w:rsidRDefault="00C46676" w:rsidP="0032777B">
            <w:pPr>
              <w:spacing w:after="0"/>
              <w:rPr>
                <w:i/>
              </w:rPr>
            </w:pPr>
            <w:r w:rsidRPr="004870C7">
              <w:rPr>
                <w:i/>
              </w:rPr>
              <w:lastRenderedPageBreak/>
              <w:t>adaptation prepared</w:t>
            </w:r>
          </w:p>
          <w:p w14:paraId="51B05B07" w14:textId="77777777" w:rsidR="00C46676" w:rsidRPr="004870C7" w:rsidRDefault="00C46676" w:rsidP="0032777B">
            <w:pPr>
              <w:rPr>
                <w:bCs/>
                <w:i/>
              </w:rPr>
            </w:pPr>
          </w:p>
        </w:tc>
        <w:tc>
          <w:tcPr>
            <w:tcW w:w="1527" w:type="dxa"/>
            <w:shd w:val="clear" w:color="auto" w:fill="auto"/>
          </w:tcPr>
          <w:p w14:paraId="75A0F587" w14:textId="07316638" w:rsidR="00C46676" w:rsidRPr="004870C7" w:rsidRDefault="00C46676" w:rsidP="0032777B">
            <w:pPr>
              <w:rPr>
                <w:b/>
                <w:i/>
              </w:rPr>
            </w:pPr>
            <w:r w:rsidRPr="004870C7">
              <w:rPr>
                <w:b/>
                <w:i/>
              </w:rPr>
              <w:lastRenderedPageBreak/>
              <w:t>Indicator 13</w:t>
            </w:r>
          </w:p>
          <w:p w14:paraId="3AF84204" w14:textId="77777777" w:rsidR="00C46676" w:rsidRPr="004870C7" w:rsidRDefault="00C46676" w:rsidP="0032777B">
            <w:pPr>
              <w:rPr>
                <w:bCs/>
                <w:i/>
              </w:rPr>
            </w:pPr>
            <w:r w:rsidRPr="004870C7">
              <w:rPr>
                <w:bCs/>
                <w:i/>
                <w:iCs/>
              </w:rPr>
              <w:t>Adaptation Chapter developed including climate scenarios</w:t>
            </w:r>
          </w:p>
          <w:p w14:paraId="61096499" w14:textId="77777777" w:rsidR="00C46676" w:rsidRPr="004870C7" w:rsidRDefault="00C46676" w:rsidP="0032777B">
            <w:pPr>
              <w:rPr>
                <w:bCs/>
                <w:i/>
              </w:rPr>
            </w:pPr>
          </w:p>
        </w:tc>
        <w:tc>
          <w:tcPr>
            <w:tcW w:w="1263" w:type="dxa"/>
            <w:shd w:val="clear" w:color="auto" w:fill="auto"/>
          </w:tcPr>
          <w:p w14:paraId="406536EC" w14:textId="762BDC47" w:rsidR="00C46676" w:rsidRPr="004870C7" w:rsidRDefault="00966A82" w:rsidP="0032777B">
            <w:pPr>
              <w:rPr>
                <w:bCs/>
                <w:i/>
              </w:rPr>
            </w:pPr>
            <w:r w:rsidRPr="004870C7">
              <w:rPr>
                <w:bCs/>
                <w:i/>
              </w:rPr>
              <w:t>C</w:t>
            </w:r>
            <w:r w:rsidR="00C46676" w:rsidRPr="004870C7">
              <w:rPr>
                <w:bCs/>
                <w:i/>
              </w:rPr>
              <w:t>limate scenarios</w:t>
            </w:r>
            <w:r w:rsidRPr="004870C7">
              <w:rPr>
                <w:bCs/>
                <w:i/>
              </w:rPr>
              <w:t xml:space="preserve"> developed and </w:t>
            </w:r>
            <w:r w:rsidR="000F08D7">
              <w:rPr>
                <w:bCs/>
                <w:i/>
              </w:rPr>
              <w:t xml:space="preserve">updated information on adaptation measures </w:t>
            </w:r>
            <w:r w:rsidRPr="004870C7">
              <w:rPr>
                <w:bCs/>
                <w:i/>
              </w:rPr>
              <w:t>presented as part of Adaptation Chapter</w:t>
            </w:r>
          </w:p>
        </w:tc>
        <w:tc>
          <w:tcPr>
            <w:tcW w:w="1729" w:type="dxa"/>
            <w:shd w:val="clear" w:color="auto" w:fill="auto"/>
          </w:tcPr>
          <w:p w14:paraId="05F8C073" w14:textId="77777777" w:rsidR="00C46676" w:rsidRPr="004870C7" w:rsidRDefault="00C46676" w:rsidP="0032777B">
            <w:pPr>
              <w:rPr>
                <w:bCs/>
                <w:i/>
              </w:rPr>
            </w:pPr>
            <w:r w:rsidRPr="004870C7">
              <w:rPr>
                <w:bCs/>
                <w:i/>
                <w:iCs/>
              </w:rPr>
              <w:t>Climate scenarios developed and presented as part of the Adaptation Chapter of the Report</w:t>
            </w:r>
          </w:p>
        </w:tc>
        <w:tc>
          <w:tcPr>
            <w:tcW w:w="1758" w:type="dxa"/>
            <w:shd w:val="clear" w:color="auto" w:fill="auto"/>
          </w:tcPr>
          <w:p w14:paraId="32FB9E8C" w14:textId="77777777" w:rsidR="00C46676" w:rsidRPr="004870C7" w:rsidRDefault="00C46676" w:rsidP="0032777B">
            <w:pPr>
              <w:rPr>
                <w:bCs/>
                <w:i/>
              </w:rPr>
            </w:pPr>
            <w:r w:rsidRPr="004870C7">
              <w:rPr>
                <w:bCs/>
                <w:i/>
              </w:rPr>
              <w:t>UNFCCC methodology</w:t>
            </w:r>
          </w:p>
        </w:tc>
        <w:tc>
          <w:tcPr>
            <w:tcW w:w="982" w:type="dxa"/>
            <w:shd w:val="clear" w:color="auto" w:fill="auto"/>
          </w:tcPr>
          <w:p w14:paraId="29D39966" w14:textId="2720A317" w:rsidR="00555BEB" w:rsidRPr="004870C7" w:rsidRDefault="00555BEB" w:rsidP="00555BEB">
            <w:r w:rsidRPr="004870C7">
              <w:t xml:space="preserve">Regular Status Survey on NCs/BTRs implementation are filled in annually.  </w:t>
            </w:r>
          </w:p>
          <w:p w14:paraId="24FCE64B" w14:textId="6D1A6CFA" w:rsidR="00C46676" w:rsidRPr="004870C7" w:rsidRDefault="00C46676" w:rsidP="0032777B">
            <w:pPr>
              <w:rPr>
                <w:bCs/>
                <w:i/>
              </w:rPr>
            </w:pPr>
          </w:p>
        </w:tc>
        <w:tc>
          <w:tcPr>
            <w:tcW w:w="1305" w:type="dxa"/>
            <w:shd w:val="clear" w:color="auto" w:fill="auto"/>
          </w:tcPr>
          <w:p w14:paraId="151B92CE" w14:textId="77777777" w:rsidR="00C46676" w:rsidRPr="004870C7" w:rsidRDefault="00C46676" w:rsidP="0032777B">
            <w:pPr>
              <w:rPr>
                <w:bCs/>
                <w:i/>
              </w:rPr>
            </w:pPr>
            <w:r w:rsidRPr="004870C7">
              <w:rPr>
                <w:bCs/>
                <w:i/>
              </w:rPr>
              <w:t>IP and Hydro-meteorological Institute</w:t>
            </w:r>
          </w:p>
        </w:tc>
        <w:tc>
          <w:tcPr>
            <w:tcW w:w="1052" w:type="dxa"/>
            <w:shd w:val="clear" w:color="auto" w:fill="auto"/>
          </w:tcPr>
          <w:p w14:paraId="5DDBAE38" w14:textId="77777777" w:rsidR="00C46676" w:rsidRPr="004870C7" w:rsidRDefault="00C46676" w:rsidP="0032777B">
            <w:pPr>
              <w:rPr>
                <w:bCs/>
                <w:i/>
              </w:rPr>
            </w:pPr>
            <w:r w:rsidRPr="004870C7">
              <w:rPr>
                <w:bCs/>
                <w:i/>
              </w:rPr>
              <w:t>UNFCCC web site</w:t>
            </w:r>
          </w:p>
        </w:tc>
        <w:tc>
          <w:tcPr>
            <w:tcW w:w="1611" w:type="dxa"/>
            <w:shd w:val="clear" w:color="auto" w:fill="auto"/>
          </w:tcPr>
          <w:p w14:paraId="4FB77BD3" w14:textId="77777777" w:rsidR="00C46676" w:rsidRPr="004870C7" w:rsidRDefault="00C46676" w:rsidP="0032777B">
            <w:pPr>
              <w:rPr>
                <w:bCs/>
                <w:i/>
              </w:rPr>
            </w:pPr>
            <w:r w:rsidRPr="004870C7">
              <w:rPr>
                <w:bCs/>
                <w:i/>
              </w:rPr>
              <w:t>Lack of data and capacities of national partners</w:t>
            </w:r>
          </w:p>
        </w:tc>
      </w:tr>
      <w:tr w:rsidR="00DF65C8" w:rsidRPr="004870C7" w14:paraId="48C773B6" w14:textId="77777777" w:rsidTr="00C46676">
        <w:trPr>
          <w:trHeight w:val="424"/>
        </w:trPr>
        <w:tc>
          <w:tcPr>
            <w:tcW w:w="1728" w:type="dxa"/>
            <w:shd w:val="clear" w:color="auto" w:fill="auto"/>
          </w:tcPr>
          <w:p w14:paraId="67C4A99F" w14:textId="4FCCC2F2" w:rsidR="00C46676" w:rsidRPr="004870C7" w:rsidRDefault="00C46676" w:rsidP="0032777B">
            <w:pPr>
              <w:rPr>
                <w:b/>
                <w:i/>
              </w:rPr>
            </w:pPr>
            <w:r w:rsidRPr="004870C7">
              <w:rPr>
                <w:b/>
                <w:i/>
              </w:rPr>
              <w:t xml:space="preserve">Project Outcome </w:t>
            </w:r>
            <w:r w:rsidR="000B4E65" w:rsidRPr="004870C7">
              <w:rPr>
                <w:b/>
                <w:i/>
              </w:rPr>
              <w:t>4.2</w:t>
            </w:r>
          </w:p>
          <w:p w14:paraId="7EAC2D32" w14:textId="7D5FADB4" w:rsidR="00C46676" w:rsidRPr="004870C7" w:rsidRDefault="00C46676" w:rsidP="0032777B">
            <w:pPr>
              <w:rPr>
                <w:bCs/>
                <w:i/>
              </w:rPr>
            </w:pPr>
            <w:r w:rsidRPr="004870C7">
              <w:rPr>
                <w:bCs/>
                <w:i/>
              </w:rPr>
              <w:t xml:space="preserve">Gender </w:t>
            </w:r>
            <w:r w:rsidR="00B3410F" w:rsidRPr="004870C7">
              <w:rPr>
                <w:bCs/>
                <w:i/>
              </w:rPr>
              <w:t>dimension</w:t>
            </w:r>
          </w:p>
        </w:tc>
        <w:tc>
          <w:tcPr>
            <w:tcW w:w="1527" w:type="dxa"/>
            <w:shd w:val="clear" w:color="auto" w:fill="auto"/>
          </w:tcPr>
          <w:p w14:paraId="2E4EE1B5" w14:textId="490F3537" w:rsidR="00C46676" w:rsidRPr="004870C7" w:rsidRDefault="00C46676" w:rsidP="0032777B">
            <w:pPr>
              <w:rPr>
                <w:bCs/>
                <w:i/>
              </w:rPr>
            </w:pPr>
            <w:r w:rsidRPr="004870C7">
              <w:rPr>
                <w:rFonts w:cs="Calibri"/>
                <w:b/>
                <w:i/>
              </w:rPr>
              <w:t>Indicator 14</w:t>
            </w:r>
            <w:r w:rsidRPr="004870C7">
              <w:rPr>
                <w:rFonts w:cs="Calibri"/>
                <w:bCs/>
                <w:iCs/>
              </w:rPr>
              <w:t xml:space="preserve"> Gender mainstreamed into the adaptation climate actions</w:t>
            </w:r>
          </w:p>
        </w:tc>
        <w:tc>
          <w:tcPr>
            <w:tcW w:w="1263" w:type="dxa"/>
            <w:shd w:val="clear" w:color="auto" w:fill="auto"/>
          </w:tcPr>
          <w:p w14:paraId="2335B10D" w14:textId="0AD7A6BA" w:rsidR="00C46676" w:rsidRPr="004870C7" w:rsidRDefault="00C46676" w:rsidP="0032777B">
            <w:pPr>
              <w:rPr>
                <w:bCs/>
                <w:iCs/>
              </w:rPr>
            </w:pPr>
            <w:r w:rsidRPr="004870C7">
              <w:rPr>
                <w:bCs/>
                <w:iCs/>
              </w:rPr>
              <w:t>Gender analysis</w:t>
            </w:r>
            <w:r w:rsidR="00966A82" w:rsidRPr="004870C7">
              <w:rPr>
                <w:bCs/>
                <w:iCs/>
              </w:rPr>
              <w:t xml:space="preserve"> of the adaptation measures developed </w:t>
            </w:r>
            <w:r w:rsidRPr="004870C7">
              <w:rPr>
                <w:bCs/>
                <w:iCs/>
              </w:rPr>
              <w:t xml:space="preserve">and </w:t>
            </w:r>
            <w:r w:rsidR="00966A82" w:rsidRPr="004870C7">
              <w:rPr>
                <w:bCs/>
                <w:iCs/>
              </w:rPr>
              <w:t xml:space="preserve">presented </w:t>
            </w:r>
            <w:r w:rsidRPr="004870C7">
              <w:rPr>
                <w:bCs/>
                <w:iCs/>
              </w:rPr>
              <w:t xml:space="preserve">within the Adaptation Chapter </w:t>
            </w:r>
          </w:p>
        </w:tc>
        <w:tc>
          <w:tcPr>
            <w:tcW w:w="1729" w:type="dxa"/>
            <w:shd w:val="clear" w:color="auto" w:fill="auto"/>
          </w:tcPr>
          <w:p w14:paraId="5DD60076" w14:textId="77777777" w:rsidR="00C46676" w:rsidRPr="004870C7" w:rsidRDefault="00C46676" w:rsidP="0032777B">
            <w:pPr>
              <w:rPr>
                <w:bCs/>
                <w:i/>
              </w:rPr>
            </w:pPr>
            <w:r w:rsidRPr="004870C7">
              <w:rPr>
                <w:bCs/>
                <w:i/>
                <w:iCs/>
              </w:rPr>
              <w:t>Gender analysis of the adaptation measures developed, and presented within the Adaptation Chapter of the Report</w:t>
            </w:r>
          </w:p>
        </w:tc>
        <w:tc>
          <w:tcPr>
            <w:tcW w:w="1758" w:type="dxa"/>
            <w:shd w:val="clear" w:color="auto" w:fill="auto"/>
          </w:tcPr>
          <w:p w14:paraId="75DC864E" w14:textId="77777777" w:rsidR="00C46676" w:rsidRPr="004870C7" w:rsidRDefault="00C46676" w:rsidP="0032777B">
            <w:pPr>
              <w:rPr>
                <w:bCs/>
                <w:i/>
              </w:rPr>
            </w:pPr>
            <w:r w:rsidRPr="004870C7">
              <w:rPr>
                <w:bCs/>
                <w:i/>
              </w:rPr>
              <w:t>UNFCCC methodology</w:t>
            </w:r>
          </w:p>
        </w:tc>
        <w:tc>
          <w:tcPr>
            <w:tcW w:w="982" w:type="dxa"/>
            <w:shd w:val="clear" w:color="auto" w:fill="auto"/>
          </w:tcPr>
          <w:p w14:paraId="55A2F3D9" w14:textId="5B805612" w:rsidR="00555BEB" w:rsidRPr="004870C7" w:rsidRDefault="00555BEB" w:rsidP="00555BEB">
            <w:r w:rsidRPr="004870C7">
              <w:t xml:space="preserve">Regular Status Survey on NCs/BTRs implementation are filled in annually.  </w:t>
            </w:r>
          </w:p>
          <w:p w14:paraId="28195D91" w14:textId="35B0AB28" w:rsidR="00C46676" w:rsidRPr="004870C7" w:rsidRDefault="00C46676" w:rsidP="0032777B">
            <w:pPr>
              <w:rPr>
                <w:bCs/>
                <w:i/>
              </w:rPr>
            </w:pPr>
          </w:p>
        </w:tc>
        <w:tc>
          <w:tcPr>
            <w:tcW w:w="1305" w:type="dxa"/>
            <w:shd w:val="clear" w:color="auto" w:fill="auto"/>
          </w:tcPr>
          <w:p w14:paraId="702747A2" w14:textId="77777777" w:rsidR="00C46676" w:rsidRPr="004870C7" w:rsidRDefault="00C46676" w:rsidP="0032777B">
            <w:pPr>
              <w:rPr>
                <w:bCs/>
                <w:i/>
              </w:rPr>
            </w:pPr>
            <w:r w:rsidRPr="004870C7">
              <w:rPr>
                <w:bCs/>
                <w:i/>
              </w:rPr>
              <w:t>IP/Hydro-meteorological institute</w:t>
            </w:r>
          </w:p>
        </w:tc>
        <w:tc>
          <w:tcPr>
            <w:tcW w:w="1052" w:type="dxa"/>
            <w:shd w:val="clear" w:color="auto" w:fill="auto"/>
          </w:tcPr>
          <w:p w14:paraId="2DF40864" w14:textId="77777777" w:rsidR="00C46676" w:rsidRPr="004870C7" w:rsidRDefault="00C46676" w:rsidP="0032777B">
            <w:pPr>
              <w:rPr>
                <w:bCs/>
                <w:i/>
              </w:rPr>
            </w:pPr>
            <w:r w:rsidRPr="004870C7">
              <w:rPr>
                <w:bCs/>
                <w:i/>
              </w:rPr>
              <w:t>UNFCCC web site</w:t>
            </w:r>
          </w:p>
        </w:tc>
        <w:tc>
          <w:tcPr>
            <w:tcW w:w="1611" w:type="dxa"/>
            <w:shd w:val="clear" w:color="auto" w:fill="auto"/>
          </w:tcPr>
          <w:p w14:paraId="05F2A598" w14:textId="77777777" w:rsidR="00C46676" w:rsidRPr="004870C7" w:rsidRDefault="00C46676" w:rsidP="0032777B">
            <w:pPr>
              <w:rPr>
                <w:bCs/>
                <w:i/>
              </w:rPr>
            </w:pPr>
            <w:r w:rsidRPr="004870C7">
              <w:rPr>
                <w:bCs/>
                <w:i/>
              </w:rPr>
              <w:t xml:space="preserve">Lack of gender disaggregated data relevant for adaptation measures </w:t>
            </w:r>
          </w:p>
        </w:tc>
      </w:tr>
      <w:tr w:rsidR="00DF65C8" w:rsidRPr="004870C7" w14:paraId="51FE86E7" w14:textId="77777777" w:rsidTr="00C46676">
        <w:trPr>
          <w:trHeight w:val="424"/>
        </w:trPr>
        <w:tc>
          <w:tcPr>
            <w:tcW w:w="1728" w:type="dxa"/>
            <w:shd w:val="clear" w:color="auto" w:fill="auto"/>
          </w:tcPr>
          <w:p w14:paraId="26AEEF80" w14:textId="5A97DE5B" w:rsidR="00C46676" w:rsidRPr="004870C7" w:rsidRDefault="00C46676" w:rsidP="0032777B">
            <w:pPr>
              <w:rPr>
                <w:b/>
                <w:i/>
              </w:rPr>
            </w:pPr>
            <w:r w:rsidRPr="004870C7">
              <w:rPr>
                <w:b/>
                <w:i/>
              </w:rPr>
              <w:t xml:space="preserve">Project Outcome </w:t>
            </w:r>
            <w:r w:rsidR="000B4E65" w:rsidRPr="004870C7">
              <w:rPr>
                <w:b/>
                <w:i/>
              </w:rPr>
              <w:t>5.1</w:t>
            </w:r>
          </w:p>
          <w:p w14:paraId="2026C7EF" w14:textId="77777777" w:rsidR="00C46676" w:rsidRPr="004870C7" w:rsidRDefault="00C46676" w:rsidP="0032777B">
            <w:pPr>
              <w:rPr>
                <w:i/>
              </w:rPr>
            </w:pPr>
            <w:r w:rsidRPr="004870C7">
              <w:rPr>
                <w:i/>
              </w:rPr>
              <w:t>Compilation of the 4NC/1BTR report</w:t>
            </w:r>
          </w:p>
          <w:p w14:paraId="0AD0EBC7" w14:textId="77777777" w:rsidR="00C46676" w:rsidRPr="004870C7" w:rsidRDefault="00C46676" w:rsidP="0032777B">
            <w:pPr>
              <w:rPr>
                <w:bCs/>
                <w:i/>
              </w:rPr>
            </w:pPr>
          </w:p>
        </w:tc>
        <w:tc>
          <w:tcPr>
            <w:tcW w:w="1527" w:type="dxa"/>
            <w:shd w:val="clear" w:color="auto" w:fill="auto"/>
          </w:tcPr>
          <w:p w14:paraId="0BF1DD81" w14:textId="34236F8B" w:rsidR="00C46676" w:rsidRPr="004870C7" w:rsidRDefault="00C46676" w:rsidP="0032777B">
            <w:pPr>
              <w:rPr>
                <w:b/>
                <w:i/>
              </w:rPr>
            </w:pPr>
            <w:r w:rsidRPr="004870C7">
              <w:rPr>
                <w:b/>
                <w:i/>
              </w:rPr>
              <w:t>Indicator 15</w:t>
            </w:r>
          </w:p>
          <w:p w14:paraId="58CB57C8" w14:textId="77777777" w:rsidR="00C46676" w:rsidRPr="004870C7" w:rsidRDefault="00C46676" w:rsidP="0032777B">
            <w:pPr>
              <w:rPr>
                <w:bCs/>
                <w:i/>
              </w:rPr>
            </w:pPr>
            <w:r w:rsidRPr="004870C7">
              <w:rPr>
                <w:bCs/>
                <w:i/>
                <w:iCs/>
              </w:rPr>
              <w:t>4NC/1BTR developed and submitted to the UNFCCC Secretariat</w:t>
            </w:r>
          </w:p>
        </w:tc>
        <w:tc>
          <w:tcPr>
            <w:tcW w:w="1263" w:type="dxa"/>
            <w:shd w:val="clear" w:color="auto" w:fill="auto"/>
          </w:tcPr>
          <w:p w14:paraId="0BF37D29" w14:textId="4F733E2B" w:rsidR="00C46676" w:rsidRPr="004870C7" w:rsidRDefault="00C46676" w:rsidP="0032777B">
            <w:pPr>
              <w:rPr>
                <w:bCs/>
                <w:i/>
              </w:rPr>
            </w:pPr>
            <w:r w:rsidRPr="004870C7">
              <w:rPr>
                <w:bCs/>
                <w:i/>
                <w:iCs/>
              </w:rPr>
              <w:t>4NC/1BTR submitted to the UNFCCC</w:t>
            </w:r>
            <w:r w:rsidR="00DF65C8">
              <w:rPr>
                <w:bCs/>
                <w:i/>
                <w:iCs/>
              </w:rPr>
              <w:t xml:space="preserve"> by December 2024.</w:t>
            </w:r>
          </w:p>
        </w:tc>
        <w:tc>
          <w:tcPr>
            <w:tcW w:w="1729" w:type="dxa"/>
            <w:shd w:val="clear" w:color="auto" w:fill="auto"/>
          </w:tcPr>
          <w:p w14:paraId="171537C8" w14:textId="77777777" w:rsidR="00C46676" w:rsidRPr="004870C7" w:rsidRDefault="00C46676" w:rsidP="0032777B">
            <w:pPr>
              <w:rPr>
                <w:bCs/>
                <w:i/>
              </w:rPr>
            </w:pPr>
            <w:r w:rsidRPr="004870C7">
              <w:rPr>
                <w:bCs/>
                <w:i/>
              </w:rPr>
              <w:t xml:space="preserve">4NC/1BTR compiled, adopted by the government and submitted to the UNFCCC. </w:t>
            </w:r>
          </w:p>
        </w:tc>
        <w:tc>
          <w:tcPr>
            <w:tcW w:w="1758" w:type="dxa"/>
            <w:shd w:val="clear" w:color="auto" w:fill="auto"/>
          </w:tcPr>
          <w:p w14:paraId="2409BBBD" w14:textId="77777777" w:rsidR="00C46676" w:rsidRPr="004870C7" w:rsidRDefault="00C46676" w:rsidP="0032777B">
            <w:pPr>
              <w:rPr>
                <w:bCs/>
                <w:i/>
              </w:rPr>
            </w:pPr>
            <w:r w:rsidRPr="004870C7">
              <w:rPr>
                <w:bCs/>
                <w:i/>
              </w:rPr>
              <w:t>UNFCCC methodology</w:t>
            </w:r>
          </w:p>
        </w:tc>
        <w:tc>
          <w:tcPr>
            <w:tcW w:w="982" w:type="dxa"/>
            <w:shd w:val="clear" w:color="auto" w:fill="auto"/>
          </w:tcPr>
          <w:p w14:paraId="0F5D789B" w14:textId="42F70400" w:rsidR="00555BEB" w:rsidRPr="004870C7" w:rsidRDefault="00555BEB" w:rsidP="00555BEB">
            <w:r w:rsidRPr="004870C7">
              <w:t xml:space="preserve">Regular Status Survey on NCs/BTRs implementation are filled in </w:t>
            </w:r>
            <w:r w:rsidR="007F24D7">
              <w:t>a</w:t>
            </w:r>
            <w:r w:rsidRPr="004870C7">
              <w:t xml:space="preserve">nnually.  </w:t>
            </w:r>
          </w:p>
          <w:p w14:paraId="24741176" w14:textId="6771AF43" w:rsidR="00C46676" w:rsidRPr="004870C7" w:rsidRDefault="00C46676" w:rsidP="0032777B">
            <w:pPr>
              <w:rPr>
                <w:bCs/>
                <w:i/>
              </w:rPr>
            </w:pPr>
          </w:p>
        </w:tc>
        <w:tc>
          <w:tcPr>
            <w:tcW w:w="1305" w:type="dxa"/>
            <w:shd w:val="clear" w:color="auto" w:fill="auto"/>
          </w:tcPr>
          <w:p w14:paraId="13CEA081" w14:textId="77777777" w:rsidR="00C46676" w:rsidRPr="004870C7" w:rsidRDefault="00C46676" w:rsidP="0032777B">
            <w:pPr>
              <w:rPr>
                <w:bCs/>
                <w:i/>
              </w:rPr>
            </w:pPr>
            <w:r w:rsidRPr="004870C7">
              <w:rPr>
                <w:bCs/>
                <w:i/>
              </w:rPr>
              <w:t>IP</w:t>
            </w:r>
          </w:p>
        </w:tc>
        <w:tc>
          <w:tcPr>
            <w:tcW w:w="1052" w:type="dxa"/>
            <w:shd w:val="clear" w:color="auto" w:fill="auto"/>
          </w:tcPr>
          <w:p w14:paraId="78F03706" w14:textId="77777777" w:rsidR="00C46676" w:rsidRPr="004870C7" w:rsidRDefault="00C46676" w:rsidP="0032777B">
            <w:pPr>
              <w:rPr>
                <w:bCs/>
                <w:i/>
              </w:rPr>
            </w:pPr>
            <w:r w:rsidRPr="004870C7">
              <w:rPr>
                <w:bCs/>
                <w:i/>
              </w:rPr>
              <w:t>UNFCCC web site</w:t>
            </w:r>
          </w:p>
        </w:tc>
        <w:tc>
          <w:tcPr>
            <w:tcW w:w="1611" w:type="dxa"/>
            <w:shd w:val="clear" w:color="auto" w:fill="auto"/>
          </w:tcPr>
          <w:p w14:paraId="327BC9EE" w14:textId="77777777" w:rsidR="00C46676" w:rsidRPr="004870C7" w:rsidRDefault="00C46676" w:rsidP="0032777B">
            <w:pPr>
              <w:rPr>
                <w:bCs/>
                <w:i/>
              </w:rPr>
            </w:pPr>
            <w:r w:rsidRPr="004870C7">
              <w:rPr>
                <w:bCs/>
                <w:i/>
              </w:rPr>
              <w:t>The climate change issues not high on the political agenda of the country (due to other economic and social issues) and thus 4NC/1BTR not adopted by the Government on time.</w:t>
            </w:r>
          </w:p>
        </w:tc>
      </w:tr>
      <w:tr w:rsidR="00DF65C8" w:rsidRPr="004870C7" w14:paraId="63872D43" w14:textId="77777777" w:rsidTr="00C46676">
        <w:trPr>
          <w:trHeight w:val="424"/>
        </w:trPr>
        <w:tc>
          <w:tcPr>
            <w:tcW w:w="1728" w:type="dxa"/>
            <w:shd w:val="clear" w:color="auto" w:fill="auto"/>
          </w:tcPr>
          <w:p w14:paraId="2C8A24C9" w14:textId="0F3A2E97" w:rsidR="00C46676" w:rsidRPr="004870C7" w:rsidRDefault="00C46676" w:rsidP="0032777B">
            <w:pPr>
              <w:rPr>
                <w:b/>
                <w:i/>
              </w:rPr>
            </w:pPr>
            <w:r w:rsidRPr="004870C7">
              <w:rPr>
                <w:b/>
                <w:i/>
              </w:rPr>
              <w:t xml:space="preserve">Project Outcome </w:t>
            </w:r>
            <w:r w:rsidR="000B4E65" w:rsidRPr="004870C7">
              <w:rPr>
                <w:b/>
                <w:i/>
              </w:rPr>
              <w:t>5.2</w:t>
            </w:r>
          </w:p>
          <w:p w14:paraId="4AB1F6D4" w14:textId="77777777" w:rsidR="00C46676" w:rsidRPr="004870C7" w:rsidRDefault="00C46676" w:rsidP="0032777B">
            <w:pPr>
              <w:rPr>
                <w:bCs/>
                <w:i/>
              </w:rPr>
            </w:pPr>
            <w:r w:rsidRPr="004870C7">
              <w:rPr>
                <w:bCs/>
                <w:i/>
              </w:rPr>
              <w:lastRenderedPageBreak/>
              <w:t xml:space="preserve">Knowledge Management </w:t>
            </w:r>
          </w:p>
        </w:tc>
        <w:tc>
          <w:tcPr>
            <w:tcW w:w="1527" w:type="dxa"/>
            <w:shd w:val="clear" w:color="auto" w:fill="auto"/>
          </w:tcPr>
          <w:p w14:paraId="28570B9E" w14:textId="5BB92269" w:rsidR="00C46676" w:rsidRPr="004870C7" w:rsidRDefault="00C46676" w:rsidP="0032777B">
            <w:pPr>
              <w:rPr>
                <w:b/>
                <w:i/>
              </w:rPr>
            </w:pPr>
            <w:r w:rsidRPr="004870C7">
              <w:rPr>
                <w:b/>
                <w:i/>
              </w:rPr>
              <w:lastRenderedPageBreak/>
              <w:t>Indicator 16</w:t>
            </w:r>
          </w:p>
          <w:p w14:paraId="2E6575C1" w14:textId="7D4E17F1" w:rsidR="00C46676" w:rsidRPr="004870C7" w:rsidRDefault="00DF65C8" w:rsidP="0032777B">
            <w:pPr>
              <w:rPr>
                <w:bCs/>
                <w:i/>
              </w:rPr>
            </w:pPr>
            <w:r w:rsidRPr="00DF65C8">
              <w:rPr>
                <w:bCs/>
                <w:i/>
                <w:iCs/>
              </w:rPr>
              <w:t xml:space="preserve">Number of working group </w:t>
            </w:r>
            <w:r w:rsidRPr="00DF65C8">
              <w:rPr>
                <w:bCs/>
                <w:i/>
                <w:iCs/>
              </w:rPr>
              <w:lastRenderedPageBreak/>
              <w:t xml:space="preserve">meetings organized to present the findings and results of 4NC/1BTR  </w:t>
            </w:r>
          </w:p>
        </w:tc>
        <w:tc>
          <w:tcPr>
            <w:tcW w:w="1263" w:type="dxa"/>
            <w:shd w:val="clear" w:color="auto" w:fill="auto"/>
          </w:tcPr>
          <w:p w14:paraId="0563404A" w14:textId="37F96DE4" w:rsidR="00C46676" w:rsidRPr="004870C7" w:rsidRDefault="00C46676" w:rsidP="0032777B">
            <w:pPr>
              <w:rPr>
                <w:bCs/>
                <w:i/>
              </w:rPr>
            </w:pPr>
            <w:r w:rsidRPr="004870C7">
              <w:rPr>
                <w:bCs/>
                <w:i/>
              </w:rPr>
              <w:lastRenderedPageBreak/>
              <w:t xml:space="preserve">Findings and results of </w:t>
            </w:r>
            <w:r w:rsidRPr="004870C7">
              <w:rPr>
                <w:bCs/>
                <w:i/>
              </w:rPr>
              <w:lastRenderedPageBreak/>
              <w:t xml:space="preserve">4NC/1BTR shared at least at 3 </w:t>
            </w:r>
            <w:r w:rsidR="00DF65C8">
              <w:rPr>
                <w:bCs/>
                <w:i/>
              </w:rPr>
              <w:t xml:space="preserve">working group </w:t>
            </w:r>
            <w:r w:rsidRPr="004870C7">
              <w:rPr>
                <w:bCs/>
                <w:i/>
              </w:rPr>
              <w:t xml:space="preserve">meetings </w:t>
            </w:r>
          </w:p>
        </w:tc>
        <w:tc>
          <w:tcPr>
            <w:tcW w:w="1729" w:type="dxa"/>
            <w:shd w:val="clear" w:color="auto" w:fill="auto"/>
          </w:tcPr>
          <w:p w14:paraId="4BA5FBD2" w14:textId="77777777" w:rsidR="00C46676" w:rsidRPr="004870C7" w:rsidRDefault="00C46676" w:rsidP="0032777B">
            <w:pPr>
              <w:rPr>
                <w:bCs/>
                <w:i/>
              </w:rPr>
            </w:pPr>
            <w:r w:rsidRPr="004870C7">
              <w:rPr>
                <w:bCs/>
                <w:i/>
                <w:iCs/>
              </w:rPr>
              <w:lastRenderedPageBreak/>
              <w:t xml:space="preserve">Findings and results of 4NC/1BTR </w:t>
            </w:r>
            <w:r w:rsidRPr="004870C7">
              <w:rPr>
                <w:bCs/>
                <w:i/>
                <w:iCs/>
              </w:rPr>
              <w:lastRenderedPageBreak/>
              <w:t>presented at 3 meetings/working groups at least</w:t>
            </w:r>
          </w:p>
        </w:tc>
        <w:tc>
          <w:tcPr>
            <w:tcW w:w="1758" w:type="dxa"/>
            <w:shd w:val="clear" w:color="auto" w:fill="auto"/>
          </w:tcPr>
          <w:p w14:paraId="39BA962F" w14:textId="77777777" w:rsidR="00C46676" w:rsidRPr="004870C7" w:rsidRDefault="00C46676" w:rsidP="0032777B">
            <w:pPr>
              <w:rPr>
                <w:bCs/>
                <w:i/>
              </w:rPr>
            </w:pPr>
            <w:r w:rsidRPr="004870C7">
              <w:rPr>
                <w:bCs/>
                <w:i/>
              </w:rPr>
              <w:lastRenderedPageBreak/>
              <w:t>Agenda/Participation lists</w:t>
            </w:r>
          </w:p>
        </w:tc>
        <w:tc>
          <w:tcPr>
            <w:tcW w:w="982" w:type="dxa"/>
            <w:shd w:val="clear" w:color="auto" w:fill="auto"/>
          </w:tcPr>
          <w:p w14:paraId="67BFF1E9" w14:textId="469B3328" w:rsidR="00555BEB" w:rsidRPr="004870C7" w:rsidRDefault="00555BEB" w:rsidP="00555BEB">
            <w:r w:rsidRPr="004870C7">
              <w:t xml:space="preserve">Regular Status Survey on NCs/BTRs </w:t>
            </w:r>
            <w:r w:rsidRPr="004870C7">
              <w:lastRenderedPageBreak/>
              <w:t xml:space="preserve">implementation are filled in annually.  </w:t>
            </w:r>
          </w:p>
          <w:p w14:paraId="46205C52" w14:textId="0FE88EEE" w:rsidR="00C46676" w:rsidRPr="004870C7" w:rsidRDefault="00C46676" w:rsidP="0032777B">
            <w:pPr>
              <w:rPr>
                <w:bCs/>
                <w:i/>
              </w:rPr>
            </w:pPr>
          </w:p>
        </w:tc>
        <w:tc>
          <w:tcPr>
            <w:tcW w:w="1305" w:type="dxa"/>
            <w:shd w:val="clear" w:color="auto" w:fill="auto"/>
          </w:tcPr>
          <w:p w14:paraId="6282880F" w14:textId="77777777" w:rsidR="00C46676" w:rsidRPr="004870C7" w:rsidRDefault="00C46676" w:rsidP="0032777B">
            <w:pPr>
              <w:rPr>
                <w:bCs/>
                <w:i/>
              </w:rPr>
            </w:pPr>
            <w:r w:rsidRPr="004870C7">
              <w:rPr>
                <w:bCs/>
                <w:i/>
              </w:rPr>
              <w:lastRenderedPageBreak/>
              <w:t>IP</w:t>
            </w:r>
          </w:p>
        </w:tc>
        <w:tc>
          <w:tcPr>
            <w:tcW w:w="1052" w:type="dxa"/>
            <w:shd w:val="clear" w:color="auto" w:fill="auto"/>
          </w:tcPr>
          <w:p w14:paraId="44AA9239" w14:textId="77777777" w:rsidR="00C46676" w:rsidRPr="004870C7" w:rsidRDefault="00C46676" w:rsidP="0032777B">
            <w:pPr>
              <w:rPr>
                <w:bCs/>
                <w:i/>
              </w:rPr>
            </w:pPr>
            <w:r w:rsidRPr="004870C7">
              <w:rPr>
                <w:bCs/>
                <w:i/>
              </w:rPr>
              <w:t>Workshop reports</w:t>
            </w:r>
          </w:p>
        </w:tc>
        <w:tc>
          <w:tcPr>
            <w:tcW w:w="1611" w:type="dxa"/>
            <w:shd w:val="clear" w:color="auto" w:fill="auto"/>
          </w:tcPr>
          <w:p w14:paraId="5EB86853" w14:textId="77777777" w:rsidR="00C46676" w:rsidRPr="004870C7" w:rsidRDefault="00C46676" w:rsidP="0032777B">
            <w:pPr>
              <w:rPr>
                <w:bCs/>
                <w:i/>
              </w:rPr>
            </w:pPr>
            <w:r w:rsidRPr="004870C7">
              <w:rPr>
                <w:bCs/>
                <w:i/>
              </w:rPr>
              <w:t xml:space="preserve">Lack of interest of targeted groups </w:t>
            </w:r>
          </w:p>
        </w:tc>
      </w:tr>
      <w:tr w:rsidR="00DF65C8" w:rsidRPr="004870C7" w14:paraId="125106E6" w14:textId="77777777" w:rsidTr="00C46676">
        <w:trPr>
          <w:trHeight w:val="424"/>
        </w:trPr>
        <w:tc>
          <w:tcPr>
            <w:tcW w:w="1728" w:type="dxa"/>
            <w:shd w:val="clear" w:color="auto" w:fill="auto"/>
          </w:tcPr>
          <w:p w14:paraId="53E05FDF" w14:textId="494409D0" w:rsidR="00C46676" w:rsidRPr="004870C7" w:rsidRDefault="00C46676" w:rsidP="0032777B">
            <w:pPr>
              <w:rPr>
                <w:b/>
                <w:i/>
              </w:rPr>
            </w:pPr>
            <w:r w:rsidRPr="004870C7">
              <w:rPr>
                <w:b/>
                <w:i/>
              </w:rPr>
              <w:t xml:space="preserve">Project Outcome </w:t>
            </w:r>
            <w:r w:rsidR="000B4E65" w:rsidRPr="004870C7">
              <w:rPr>
                <w:b/>
                <w:i/>
              </w:rPr>
              <w:t>5.3</w:t>
            </w:r>
          </w:p>
          <w:p w14:paraId="61CAC381" w14:textId="77777777" w:rsidR="00C46676" w:rsidRPr="004870C7" w:rsidRDefault="00C46676" w:rsidP="0032777B">
            <w:pPr>
              <w:rPr>
                <w:bCs/>
                <w:i/>
              </w:rPr>
            </w:pPr>
            <w:r w:rsidRPr="004870C7">
              <w:rPr>
                <w:bCs/>
                <w:i/>
              </w:rPr>
              <w:t xml:space="preserve">Monitoring and Evaluation </w:t>
            </w:r>
          </w:p>
        </w:tc>
        <w:tc>
          <w:tcPr>
            <w:tcW w:w="1527" w:type="dxa"/>
            <w:shd w:val="clear" w:color="auto" w:fill="auto"/>
          </w:tcPr>
          <w:p w14:paraId="3ABB0F5E" w14:textId="44B7F63E" w:rsidR="00C46676" w:rsidRPr="004870C7" w:rsidRDefault="00C46676" w:rsidP="0032777B">
            <w:pPr>
              <w:rPr>
                <w:b/>
                <w:i/>
                <w:iCs/>
              </w:rPr>
            </w:pPr>
            <w:r w:rsidRPr="004870C7">
              <w:rPr>
                <w:b/>
                <w:i/>
                <w:iCs/>
              </w:rPr>
              <w:t>Indicator 17</w:t>
            </w:r>
          </w:p>
          <w:p w14:paraId="35496B61" w14:textId="77777777" w:rsidR="00C46676" w:rsidRPr="004870C7" w:rsidRDefault="00C46676" w:rsidP="0032777B">
            <w:pPr>
              <w:rPr>
                <w:bCs/>
                <w:i/>
              </w:rPr>
            </w:pPr>
            <w:r w:rsidRPr="004870C7">
              <w:rPr>
                <w:bCs/>
                <w:i/>
                <w:iCs/>
              </w:rPr>
              <w:t>Monitoring and Evaluation conducted as per applicable rules and procedures</w:t>
            </w:r>
          </w:p>
        </w:tc>
        <w:tc>
          <w:tcPr>
            <w:tcW w:w="1263" w:type="dxa"/>
            <w:shd w:val="clear" w:color="auto" w:fill="auto"/>
          </w:tcPr>
          <w:p w14:paraId="5CA94719" w14:textId="747FDEE7" w:rsidR="00C46676" w:rsidRPr="004870C7" w:rsidRDefault="00893473" w:rsidP="0032777B">
            <w:pPr>
              <w:rPr>
                <w:bCs/>
                <w:i/>
              </w:rPr>
            </w:pPr>
            <w:r w:rsidRPr="004870C7">
              <w:rPr>
                <w:bCs/>
                <w:i/>
              </w:rPr>
              <w:t xml:space="preserve">M&amp;E </w:t>
            </w:r>
            <w:r w:rsidR="00DA0DA2" w:rsidRPr="004870C7">
              <w:rPr>
                <w:bCs/>
                <w:i/>
              </w:rPr>
              <w:t>conducted in line with the approved M&amp;E Plan</w:t>
            </w:r>
          </w:p>
        </w:tc>
        <w:tc>
          <w:tcPr>
            <w:tcW w:w="1729" w:type="dxa"/>
            <w:shd w:val="clear" w:color="auto" w:fill="auto"/>
          </w:tcPr>
          <w:p w14:paraId="65196245" w14:textId="5AB50997" w:rsidR="00C46676" w:rsidRPr="004870C7" w:rsidRDefault="00893473" w:rsidP="0032777B">
            <w:pPr>
              <w:rPr>
                <w:bCs/>
                <w:i/>
              </w:rPr>
            </w:pPr>
            <w:r w:rsidRPr="004870C7">
              <w:rPr>
                <w:bCs/>
                <w:i/>
              </w:rPr>
              <w:t xml:space="preserve">Inception Workshop held, regular PMB meetings, regular spot checks of the IP, End of Project Report </w:t>
            </w:r>
          </w:p>
        </w:tc>
        <w:tc>
          <w:tcPr>
            <w:tcW w:w="1758" w:type="dxa"/>
            <w:shd w:val="clear" w:color="auto" w:fill="auto"/>
          </w:tcPr>
          <w:p w14:paraId="19DBE941" w14:textId="45998293" w:rsidR="00C46676" w:rsidRPr="004870C7" w:rsidRDefault="00893473" w:rsidP="0032777B">
            <w:pPr>
              <w:rPr>
                <w:bCs/>
                <w:i/>
              </w:rPr>
            </w:pPr>
            <w:r w:rsidRPr="004870C7">
              <w:rPr>
                <w:bCs/>
                <w:i/>
              </w:rPr>
              <w:t>Templates for reports as per POPP</w:t>
            </w:r>
          </w:p>
        </w:tc>
        <w:tc>
          <w:tcPr>
            <w:tcW w:w="982" w:type="dxa"/>
            <w:shd w:val="clear" w:color="auto" w:fill="auto"/>
          </w:tcPr>
          <w:p w14:paraId="11461944" w14:textId="375B587F" w:rsidR="00555BEB" w:rsidRPr="004870C7" w:rsidRDefault="00555BEB" w:rsidP="00555BEB">
            <w:r w:rsidRPr="004870C7">
              <w:t xml:space="preserve">Regular Status Survey on NCs/BTRs implementation are filled in annually.  </w:t>
            </w:r>
          </w:p>
          <w:p w14:paraId="24902394" w14:textId="49B0735A" w:rsidR="00893473" w:rsidRPr="004870C7" w:rsidRDefault="00893473" w:rsidP="0032777B">
            <w:pPr>
              <w:rPr>
                <w:bCs/>
                <w:i/>
              </w:rPr>
            </w:pPr>
          </w:p>
        </w:tc>
        <w:tc>
          <w:tcPr>
            <w:tcW w:w="1305" w:type="dxa"/>
            <w:shd w:val="clear" w:color="auto" w:fill="auto"/>
          </w:tcPr>
          <w:p w14:paraId="48B1AAC0" w14:textId="488AC41E" w:rsidR="00C46676" w:rsidRPr="004870C7" w:rsidRDefault="00893473" w:rsidP="0032777B">
            <w:pPr>
              <w:rPr>
                <w:bCs/>
                <w:i/>
              </w:rPr>
            </w:pPr>
            <w:r w:rsidRPr="004870C7">
              <w:rPr>
                <w:bCs/>
                <w:i/>
              </w:rPr>
              <w:t>UNDP</w:t>
            </w:r>
          </w:p>
        </w:tc>
        <w:tc>
          <w:tcPr>
            <w:tcW w:w="1052" w:type="dxa"/>
            <w:shd w:val="clear" w:color="auto" w:fill="auto"/>
          </w:tcPr>
          <w:p w14:paraId="62F05440" w14:textId="040F293B" w:rsidR="00C46676" w:rsidRPr="004870C7" w:rsidRDefault="00893473" w:rsidP="0032777B">
            <w:pPr>
              <w:rPr>
                <w:bCs/>
                <w:i/>
              </w:rPr>
            </w:pPr>
            <w:r w:rsidRPr="004870C7">
              <w:rPr>
                <w:bCs/>
                <w:i/>
              </w:rPr>
              <w:t>Inception Report, End of Project Report, spot checks reports</w:t>
            </w:r>
          </w:p>
        </w:tc>
        <w:tc>
          <w:tcPr>
            <w:tcW w:w="1611" w:type="dxa"/>
            <w:shd w:val="clear" w:color="auto" w:fill="auto"/>
          </w:tcPr>
          <w:p w14:paraId="38DD068C" w14:textId="3D6B6985" w:rsidR="00C46676" w:rsidRPr="004870C7" w:rsidRDefault="00893473" w:rsidP="0032777B">
            <w:pPr>
              <w:rPr>
                <w:bCs/>
                <w:i/>
              </w:rPr>
            </w:pPr>
            <w:r w:rsidRPr="004870C7">
              <w:rPr>
                <w:bCs/>
                <w:i/>
              </w:rPr>
              <w:t xml:space="preserve">As this will be one of the first projects implemented as NIM, lack of experience and human capacities of IP might slow down the implementation </w:t>
            </w:r>
          </w:p>
        </w:tc>
      </w:tr>
    </w:tbl>
    <w:p w14:paraId="40AF106F" w14:textId="77777777" w:rsidR="00C46676" w:rsidRPr="004870C7" w:rsidRDefault="00C46676" w:rsidP="00BB0459">
      <w:pPr>
        <w:pStyle w:val="Heading2"/>
        <w:ind w:left="0"/>
        <w:rPr>
          <w:rFonts w:ascii="Calibri" w:hAnsi="Calibri"/>
          <w:szCs w:val="22"/>
        </w:rPr>
      </w:pPr>
    </w:p>
    <w:p w14:paraId="4ABE8820" w14:textId="77777777" w:rsidR="00C46676" w:rsidRPr="004870C7" w:rsidRDefault="00C46676" w:rsidP="00BB0459">
      <w:pPr>
        <w:pStyle w:val="Heading2"/>
        <w:ind w:left="0"/>
        <w:rPr>
          <w:rFonts w:ascii="Calibri" w:hAnsi="Calibri"/>
          <w:szCs w:val="22"/>
        </w:rPr>
      </w:pPr>
    </w:p>
    <w:p w14:paraId="503EE86A" w14:textId="17163A12" w:rsidR="00BB0459" w:rsidRPr="004870C7" w:rsidRDefault="00BB0459" w:rsidP="00BB0459">
      <w:pPr>
        <w:pStyle w:val="Heading2"/>
        <w:ind w:left="0"/>
        <w:rPr>
          <w:rFonts w:ascii="Calibri" w:hAnsi="Calibri"/>
          <w:szCs w:val="22"/>
        </w:rPr>
      </w:pPr>
      <w:r w:rsidRPr="004870C7">
        <w:rPr>
          <w:rFonts w:ascii="Calibri" w:hAnsi="Calibri"/>
          <w:szCs w:val="22"/>
        </w:rPr>
        <w:br w:type="page"/>
      </w:r>
    </w:p>
    <w:p w14:paraId="3EADFC72" w14:textId="209AE243" w:rsidR="00641CC1" w:rsidRPr="004870C7" w:rsidRDefault="00641CC1">
      <w:pPr>
        <w:spacing w:after="0"/>
        <w:jc w:val="left"/>
        <w:rPr>
          <w:rFonts w:cs="Calibri"/>
          <w:b/>
          <w:bCs/>
          <w:szCs w:val="20"/>
        </w:rPr>
      </w:pPr>
    </w:p>
    <w:p w14:paraId="4A03EC0C" w14:textId="6B8073BF" w:rsidR="00BB0459" w:rsidRPr="004870C7" w:rsidRDefault="00B708E6" w:rsidP="00BB0459">
      <w:pPr>
        <w:pStyle w:val="Heading2"/>
        <w:ind w:left="0"/>
        <w:rPr>
          <w:rFonts w:ascii="Calibri" w:hAnsi="Calibri" w:cs="Calibri"/>
          <w:szCs w:val="20"/>
        </w:rPr>
      </w:pPr>
      <w:bookmarkStart w:id="31" w:name="_Toc75965561"/>
      <w:r w:rsidRPr="004870C7">
        <w:rPr>
          <w:rFonts w:ascii="Calibri" w:hAnsi="Calibri" w:cs="Calibri"/>
          <w:szCs w:val="20"/>
        </w:rPr>
        <w:t>Annex</w:t>
      </w:r>
      <w:r w:rsidR="00A8080C" w:rsidRPr="004870C7">
        <w:rPr>
          <w:rFonts w:ascii="Calibri" w:hAnsi="Calibri" w:cs="Calibri"/>
          <w:szCs w:val="20"/>
        </w:rPr>
        <w:t xml:space="preserve"> </w:t>
      </w:r>
      <w:r w:rsidR="00370E72" w:rsidRPr="004870C7">
        <w:rPr>
          <w:rFonts w:ascii="Calibri" w:hAnsi="Calibri" w:cs="Calibri"/>
          <w:szCs w:val="20"/>
        </w:rPr>
        <w:t>5</w:t>
      </w:r>
      <w:r w:rsidR="00BB0459" w:rsidRPr="004870C7">
        <w:rPr>
          <w:rFonts w:ascii="Calibri" w:hAnsi="Calibri" w:cs="Calibri"/>
          <w:szCs w:val="20"/>
        </w:rPr>
        <w:t xml:space="preserve">: UNDP Risk </w:t>
      </w:r>
      <w:r w:rsidR="004E5B7D" w:rsidRPr="004870C7">
        <w:rPr>
          <w:rFonts w:ascii="Calibri" w:hAnsi="Calibri" w:cs="Calibri"/>
          <w:szCs w:val="20"/>
        </w:rPr>
        <w:t>Register</w:t>
      </w:r>
      <w:bookmarkEnd w:id="31"/>
    </w:p>
    <w:p w14:paraId="06D7C8C3" w14:textId="77777777" w:rsidR="00897F6C" w:rsidRPr="004870C7" w:rsidRDefault="00897F6C" w:rsidP="00897F6C"/>
    <w:p w14:paraId="1C0D148C" w14:textId="77777777" w:rsidR="00BB0459" w:rsidRPr="004870C7" w:rsidRDefault="00BB0459" w:rsidP="00BB0459">
      <w:pPr>
        <w:spacing w:after="0"/>
        <w:rPr>
          <w:rFonts w:cs="Calibri"/>
          <w:vanish/>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2085"/>
        <w:gridCol w:w="2035"/>
        <w:gridCol w:w="4086"/>
        <w:gridCol w:w="3145"/>
        <w:gridCol w:w="1195"/>
      </w:tblGrid>
      <w:tr w:rsidR="00283042" w:rsidRPr="004870C7" w14:paraId="4E375533" w14:textId="77777777" w:rsidTr="00031A41">
        <w:trPr>
          <w:tblHeader/>
        </w:trPr>
        <w:tc>
          <w:tcPr>
            <w:tcW w:w="0" w:type="auto"/>
            <w:shd w:val="clear" w:color="auto" w:fill="FFCC00"/>
          </w:tcPr>
          <w:p w14:paraId="3CD9F15D" w14:textId="77777777" w:rsidR="00283042" w:rsidRPr="004870C7" w:rsidRDefault="00283042" w:rsidP="00FD462B">
            <w:pPr>
              <w:spacing w:after="0"/>
              <w:rPr>
                <w:rFonts w:cs="Calibri"/>
                <w:b/>
                <w:sz w:val="18"/>
                <w:szCs w:val="18"/>
              </w:rPr>
            </w:pPr>
            <w:r w:rsidRPr="004870C7">
              <w:rPr>
                <w:rFonts w:cs="Calibri"/>
                <w:b/>
                <w:sz w:val="18"/>
                <w:szCs w:val="18"/>
              </w:rPr>
              <w:t>#</w:t>
            </w:r>
          </w:p>
        </w:tc>
        <w:tc>
          <w:tcPr>
            <w:tcW w:w="2117" w:type="dxa"/>
            <w:shd w:val="clear" w:color="auto" w:fill="FFCC00"/>
          </w:tcPr>
          <w:p w14:paraId="6773EFD1" w14:textId="77777777" w:rsidR="00283042" w:rsidRPr="004870C7" w:rsidRDefault="00283042" w:rsidP="00FD462B">
            <w:pPr>
              <w:spacing w:after="0"/>
              <w:rPr>
                <w:rFonts w:cs="Calibri"/>
                <w:b/>
                <w:sz w:val="18"/>
                <w:szCs w:val="18"/>
              </w:rPr>
            </w:pPr>
            <w:r w:rsidRPr="004870C7">
              <w:rPr>
                <w:rFonts w:cs="Calibri"/>
                <w:b/>
                <w:sz w:val="18"/>
                <w:szCs w:val="18"/>
              </w:rPr>
              <w:t>Description</w:t>
            </w:r>
          </w:p>
        </w:tc>
        <w:tc>
          <w:tcPr>
            <w:tcW w:w="2064" w:type="dxa"/>
            <w:shd w:val="clear" w:color="auto" w:fill="FFCC00"/>
          </w:tcPr>
          <w:p w14:paraId="2E58D11D" w14:textId="77777777" w:rsidR="00283042" w:rsidRPr="004870C7" w:rsidRDefault="00283042" w:rsidP="00FD462B">
            <w:pPr>
              <w:spacing w:after="0"/>
              <w:rPr>
                <w:rFonts w:cs="Calibri"/>
                <w:b/>
                <w:sz w:val="18"/>
                <w:szCs w:val="18"/>
              </w:rPr>
            </w:pPr>
            <w:r w:rsidRPr="004870C7">
              <w:rPr>
                <w:rFonts w:cs="Calibri"/>
                <w:b/>
                <w:sz w:val="18"/>
                <w:szCs w:val="18"/>
              </w:rPr>
              <w:t>Risk Category</w:t>
            </w:r>
          </w:p>
        </w:tc>
        <w:tc>
          <w:tcPr>
            <w:tcW w:w="2610" w:type="dxa"/>
            <w:shd w:val="clear" w:color="auto" w:fill="FFCC00"/>
          </w:tcPr>
          <w:p w14:paraId="205B10D7" w14:textId="77777777" w:rsidR="00283042" w:rsidRPr="004870C7" w:rsidRDefault="00283042" w:rsidP="00FD462B">
            <w:pPr>
              <w:spacing w:after="0"/>
              <w:rPr>
                <w:rFonts w:cs="Calibri"/>
                <w:b/>
                <w:sz w:val="18"/>
                <w:szCs w:val="18"/>
              </w:rPr>
            </w:pPr>
            <w:r w:rsidRPr="004870C7">
              <w:rPr>
                <w:rFonts w:cs="Calibri"/>
                <w:b/>
                <w:sz w:val="18"/>
                <w:szCs w:val="18"/>
              </w:rPr>
              <w:t>Impact &amp;</w:t>
            </w:r>
          </w:p>
          <w:p w14:paraId="60A1D0A2" w14:textId="77777777" w:rsidR="00283042" w:rsidRPr="004870C7" w:rsidRDefault="00283042" w:rsidP="00FD462B">
            <w:pPr>
              <w:spacing w:after="0"/>
              <w:rPr>
                <w:rFonts w:cs="Calibri"/>
                <w:b/>
                <w:sz w:val="18"/>
                <w:szCs w:val="18"/>
              </w:rPr>
            </w:pPr>
            <w:r w:rsidRPr="004870C7">
              <w:rPr>
                <w:rFonts w:cs="Calibri"/>
                <w:b/>
                <w:sz w:val="18"/>
                <w:szCs w:val="18"/>
              </w:rPr>
              <w:t>Probability</w:t>
            </w:r>
          </w:p>
        </w:tc>
        <w:tc>
          <w:tcPr>
            <w:tcW w:w="3212" w:type="dxa"/>
            <w:shd w:val="clear" w:color="auto" w:fill="FFCC00"/>
          </w:tcPr>
          <w:p w14:paraId="3ACDD076" w14:textId="77777777" w:rsidR="00283042" w:rsidRPr="004870C7" w:rsidRDefault="00283042" w:rsidP="00FD462B">
            <w:pPr>
              <w:spacing w:after="0"/>
              <w:rPr>
                <w:rFonts w:cs="Calibri"/>
                <w:b/>
                <w:sz w:val="18"/>
                <w:szCs w:val="18"/>
              </w:rPr>
            </w:pPr>
            <w:r w:rsidRPr="004870C7">
              <w:rPr>
                <w:rFonts w:cs="Calibri"/>
                <w:b/>
                <w:sz w:val="18"/>
                <w:szCs w:val="18"/>
              </w:rPr>
              <w:t>Risk Treatment / Management Measures</w:t>
            </w:r>
          </w:p>
        </w:tc>
        <w:tc>
          <w:tcPr>
            <w:tcW w:w="0" w:type="auto"/>
            <w:shd w:val="clear" w:color="auto" w:fill="FFCC00"/>
          </w:tcPr>
          <w:p w14:paraId="04C31124" w14:textId="77777777" w:rsidR="00283042" w:rsidRPr="004870C7" w:rsidRDefault="00283042" w:rsidP="00FD462B">
            <w:pPr>
              <w:spacing w:after="0"/>
              <w:rPr>
                <w:rFonts w:cs="Calibri"/>
                <w:b/>
                <w:sz w:val="18"/>
                <w:szCs w:val="18"/>
              </w:rPr>
            </w:pPr>
            <w:r w:rsidRPr="004870C7">
              <w:rPr>
                <w:rFonts w:cs="Calibri"/>
                <w:b/>
                <w:sz w:val="18"/>
                <w:szCs w:val="18"/>
              </w:rPr>
              <w:t>Risk Owner</w:t>
            </w:r>
          </w:p>
        </w:tc>
      </w:tr>
      <w:tr w:rsidR="00283042" w:rsidRPr="004870C7" w14:paraId="6C518F42" w14:textId="77777777" w:rsidTr="00747168">
        <w:tc>
          <w:tcPr>
            <w:tcW w:w="0" w:type="auto"/>
            <w:shd w:val="clear" w:color="auto" w:fill="B4C6E7"/>
          </w:tcPr>
          <w:p w14:paraId="3BCC5B05" w14:textId="77777777" w:rsidR="00283042" w:rsidRPr="004870C7" w:rsidRDefault="00283042" w:rsidP="00FD462B">
            <w:pPr>
              <w:spacing w:after="0"/>
              <w:rPr>
                <w:rFonts w:cs="Calibri"/>
                <w:sz w:val="18"/>
                <w:szCs w:val="18"/>
              </w:rPr>
            </w:pPr>
          </w:p>
        </w:tc>
        <w:tc>
          <w:tcPr>
            <w:tcW w:w="2117" w:type="dxa"/>
            <w:shd w:val="clear" w:color="auto" w:fill="B4C6E7"/>
          </w:tcPr>
          <w:p w14:paraId="2CE1D606" w14:textId="77777777" w:rsidR="00283042" w:rsidRPr="004870C7" w:rsidRDefault="00283042" w:rsidP="00747168">
            <w:pPr>
              <w:spacing w:after="0"/>
              <w:jc w:val="left"/>
              <w:rPr>
                <w:rFonts w:cs="Calibri"/>
                <w:sz w:val="18"/>
                <w:szCs w:val="18"/>
              </w:rPr>
            </w:pPr>
            <w:r w:rsidRPr="004870C7">
              <w:rPr>
                <w:rFonts w:cs="Calibri"/>
                <w:sz w:val="18"/>
                <w:szCs w:val="18"/>
              </w:rPr>
              <w:t>Enter a brief description of the risk. Risk description should include future event and cause.</w:t>
            </w:r>
          </w:p>
          <w:p w14:paraId="6EDC5CAC" w14:textId="77777777" w:rsidR="00283042" w:rsidRPr="004870C7" w:rsidRDefault="00283042" w:rsidP="00747168">
            <w:pPr>
              <w:spacing w:after="0"/>
              <w:jc w:val="left"/>
              <w:rPr>
                <w:rFonts w:cs="Calibri"/>
                <w:sz w:val="18"/>
                <w:szCs w:val="18"/>
              </w:rPr>
            </w:pPr>
          </w:p>
          <w:p w14:paraId="16DC310B" w14:textId="69CF6E14" w:rsidR="00283042" w:rsidRPr="004870C7" w:rsidRDefault="00283042" w:rsidP="00747168">
            <w:pPr>
              <w:spacing w:after="0"/>
              <w:jc w:val="left"/>
              <w:rPr>
                <w:rFonts w:cs="Calibri"/>
                <w:sz w:val="18"/>
                <w:szCs w:val="18"/>
              </w:rPr>
            </w:pPr>
            <w:r w:rsidRPr="004870C7">
              <w:rPr>
                <w:rFonts w:cs="Calibri"/>
                <w:sz w:val="18"/>
                <w:szCs w:val="18"/>
              </w:rPr>
              <w:t>Risks identified through HACT, PCAT, SES, Private Sector Due Diligence, and other assessments should be included.</w:t>
            </w:r>
          </w:p>
          <w:p w14:paraId="18521E88" w14:textId="77777777" w:rsidR="00283042" w:rsidRPr="004870C7" w:rsidRDefault="00283042" w:rsidP="00747168">
            <w:pPr>
              <w:spacing w:after="0"/>
              <w:jc w:val="left"/>
              <w:rPr>
                <w:rFonts w:cs="Calibri"/>
                <w:sz w:val="18"/>
                <w:szCs w:val="18"/>
              </w:rPr>
            </w:pPr>
          </w:p>
          <w:p w14:paraId="216A0F57" w14:textId="77777777" w:rsidR="00283042" w:rsidRPr="004870C7" w:rsidRDefault="00283042" w:rsidP="00747168">
            <w:pPr>
              <w:spacing w:after="0"/>
              <w:jc w:val="left"/>
              <w:rPr>
                <w:rFonts w:cs="Calibri"/>
                <w:i/>
                <w:sz w:val="18"/>
                <w:szCs w:val="18"/>
              </w:rPr>
            </w:pPr>
          </w:p>
          <w:p w14:paraId="01F84E79" w14:textId="34B08313" w:rsidR="00283042" w:rsidRPr="004870C7" w:rsidRDefault="00283042" w:rsidP="00747168">
            <w:pPr>
              <w:spacing w:after="0"/>
              <w:jc w:val="left"/>
              <w:rPr>
                <w:rFonts w:cs="Calibri"/>
                <w:i/>
                <w:sz w:val="18"/>
                <w:szCs w:val="18"/>
              </w:rPr>
            </w:pPr>
          </w:p>
        </w:tc>
        <w:tc>
          <w:tcPr>
            <w:tcW w:w="2064" w:type="dxa"/>
            <w:shd w:val="clear" w:color="auto" w:fill="B4C6E7"/>
          </w:tcPr>
          <w:p w14:paraId="0B82BD3A" w14:textId="77777777" w:rsidR="00283042" w:rsidRPr="004870C7" w:rsidRDefault="00283042" w:rsidP="00747168">
            <w:pPr>
              <w:spacing w:after="0"/>
              <w:jc w:val="left"/>
              <w:rPr>
                <w:rFonts w:cs="Calibri"/>
                <w:sz w:val="18"/>
                <w:szCs w:val="18"/>
              </w:rPr>
            </w:pPr>
            <w:r w:rsidRPr="004870C7">
              <w:rPr>
                <w:rFonts w:cs="Calibri"/>
                <w:sz w:val="18"/>
                <w:szCs w:val="18"/>
              </w:rPr>
              <w:t>Social and Environmental</w:t>
            </w:r>
          </w:p>
          <w:p w14:paraId="31A21245" w14:textId="77777777" w:rsidR="00283042" w:rsidRPr="004870C7" w:rsidRDefault="00283042" w:rsidP="00747168">
            <w:pPr>
              <w:spacing w:after="0"/>
              <w:jc w:val="left"/>
              <w:rPr>
                <w:rFonts w:cs="Calibri"/>
                <w:sz w:val="18"/>
                <w:szCs w:val="18"/>
              </w:rPr>
            </w:pPr>
            <w:r w:rsidRPr="004870C7">
              <w:rPr>
                <w:rFonts w:cs="Calibri"/>
                <w:sz w:val="18"/>
                <w:szCs w:val="18"/>
              </w:rPr>
              <w:t>Financial</w:t>
            </w:r>
          </w:p>
          <w:p w14:paraId="31A39D63" w14:textId="77777777" w:rsidR="00283042" w:rsidRPr="004870C7" w:rsidRDefault="00283042" w:rsidP="00747168">
            <w:pPr>
              <w:spacing w:after="0"/>
              <w:jc w:val="left"/>
              <w:rPr>
                <w:rFonts w:cs="Calibri"/>
                <w:sz w:val="18"/>
                <w:szCs w:val="18"/>
              </w:rPr>
            </w:pPr>
            <w:r w:rsidRPr="004870C7">
              <w:rPr>
                <w:rFonts w:cs="Calibri"/>
                <w:sz w:val="18"/>
                <w:szCs w:val="18"/>
              </w:rPr>
              <w:t xml:space="preserve">Operational </w:t>
            </w:r>
          </w:p>
          <w:p w14:paraId="6CD99AE8" w14:textId="77777777" w:rsidR="00283042" w:rsidRPr="004870C7" w:rsidRDefault="00283042" w:rsidP="00747168">
            <w:pPr>
              <w:spacing w:after="0"/>
              <w:jc w:val="left"/>
              <w:rPr>
                <w:rFonts w:cs="Calibri"/>
                <w:sz w:val="18"/>
                <w:szCs w:val="18"/>
              </w:rPr>
            </w:pPr>
            <w:r w:rsidRPr="004870C7">
              <w:rPr>
                <w:rFonts w:cs="Calibri"/>
                <w:sz w:val="18"/>
                <w:szCs w:val="18"/>
              </w:rPr>
              <w:t>Organizational</w:t>
            </w:r>
          </w:p>
          <w:p w14:paraId="73189C1B" w14:textId="77777777" w:rsidR="00283042" w:rsidRPr="004870C7" w:rsidRDefault="00283042" w:rsidP="00747168">
            <w:pPr>
              <w:spacing w:after="0"/>
              <w:jc w:val="left"/>
              <w:rPr>
                <w:rFonts w:cs="Calibri"/>
                <w:sz w:val="18"/>
                <w:szCs w:val="18"/>
              </w:rPr>
            </w:pPr>
            <w:r w:rsidRPr="004870C7">
              <w:rPr>
                <w:rFonts w:cs="Calibri"/>
                <w:sz w:val="18"/>
                <w:szCs w:val="18"/>
              </w:rPr>
              <w:t>Political</w:t>
            </w:r>
          </w:p>
          <w:p w14:paraId="1229B252" w14:textId="77777777" w:rsidR="00283042" w:rsidRPr="004870C7" w:rsidRDefault="00283042" w:rsidP="00747168">
            <w:pPr>
              <w:spacing w:after="0"/>
              <w:jc w:val="left"/>
              <w:rPr>
                <w:rFonts w:cs="Calibri"/>
                <w:sz w:val="18"/>
                <w:szCs w:val="18"/>
              </w:rPr>
            </w:pPr>
            <w:r w:rsidRPr="004870C7">
              <w:rPr>
                <w:rFonts w:cs="Calibri"/>
                <w:sz w:val="18"/>
                <w:szCs w:val="18"/>
              </w:rPr>
              <w:t>Regulatory</w:t>
            </w:r>
          </w:p>
          <w:p w14:paraId="64AAA6AA" w14:textId="77777777" w:rsidR="00283042" w:rsidRPr="004870C7" w:rsidRDefault="00283042" w:rsidP="00747168">
            <w:pPr>
              <w:spacing w:after="0"/>
              <w:jc w:val="left"/>
              <w:rPr>
                <w:rFonts w:cs="Calibri"/>
                <w:sz w:val="18"/>
                <w:szCs w:val="18"/>
              </w:rPr>
            </w:pPr>
            <w:r w:rsidRPr="004870C7">
              <w:rPr>
                <w:rFonts w:cs="Calibri"/>
                <w:sz w:val="18"/>
                <w:szCs w:val="18"/>
              </w:rPr>
              <w:t>Strategic</w:t>
            </w:r>
          </w:p>
          <w:p w14:paraId="01C8AE6A" w14:textId="77777777" w:rsidR="00283042" w:rsidRPr="004870C7" w:rsidRDefault="00283042" w:rsidP="00747168">
            <w:pPr>
              <w:spacing w:after="0"/>
              <w:jc w:val="left"/>
              <w:rPr>
                <w:rFonts w:cs="Calibri"/>
                <w:sz w:val="18"/>
                <w:szCs w:val="18"/>
              </w:rPr>
            </w:pPr>
            <w:r w:rsidRPr="004870C7">
              <w:rPr>
                <w:rFonts w:cs="Calibri"/>
                <w:sz w:val="18"/>
                <w:szCs w:val="18"/>
              </w:rPr>
              <w:t>Other</w:t>
            </w:r>
          </w:p>
          <w:p w14:paraId="0AD7C625" w14:textId="77777777" w:rsidR="00283042" w:rsidRPr="004870C7" w:rsidRDefault="00283042" w:rsidP="00747168">
            <w:pPr>
              <w:spacing w:after="0"/>
              <w:jc w:val="left"/>
              <w:rPr>
                <w:rFonts w:cs="Calibri"/>
                <w:color w:val="0000FF"/>
                <w:sz w:val="18"/>
                <w:szCs w:val="18"/>
              </w:rPr>
            </w:pPr>
          </w:p>
          <w:p w14:paraId="13DB091D" w14:textId="1864C066" w:rsidR="00283042" w:rsidRPr="004870C7" w:rsidRDefault="00283042" w:rsidP="00747168">
            <w:pPr>
              <w:spacing w:after="0"/>
              <w:jc w:val="left"/>
              <w:rPr>
                <w:rFonts w:cs="Calibri"/>
                <w:i/>
                <w:sz w:val="18"/>
                <w:szCs w:val="18"/>
              </w:rPr>
            </w:pPr>
            <w:r w:rsidRPr="004870C7">
              <w:rPr>
                <w:rFonts w:cs="Calibri"/>
                <w:color w:val="000000"/>
                <w:sz w:val="18"/>
                <w:szCs w:val="18"/>
              </w:rPr>
              <w:t>Subcategories for each risk type should be consulted to understand each risk type (see UNDP Enterprise Risk Management Policy)</w:t>
            </w:r>
          </w:p>
        </w:tc>
        <w:tc>
          <w:tcPr>
            <w:tcW w:w="2610" w:type="dxa"/>
            <w:shd w:val="clear" w:color="auto" w:fill="B4C6E7"/>
          </w:tcPr>
          <w:p w14:paraId="24F38EE5" w14:textId="77777777" w:rsidR="00283042" w:rsidRPr="004870C7" w:rsidRDefault="00283042" w:rsidP="00747168">
            <w:pPr>
              <w:spacing w:after="0"/>
              <w:jc w:val="left"/>
              <w:rPr>
                <w:rFonts w:cs="Calibri"/>
                <w:sz w:val="18"/>
                <w:szCs w:val="18"/>
              </w:rPr>
            </w:pPr>
            <w:r w:rsidRPr="004870C7">
              <w:rPr>
                <w:rFonts w:cs="Calibri"/>
                <w:sz w:val="18"/>
                <w:szCs w:val="18"/>
              </w:rPr>
              <w:t xml:space="preserve">Describe the potential </w:t>
            </w:r>
            <w:r w:rsidRPr="004870C7">
              <w:rPr>
                <w:rFonts w:cs="Calibri"/>
                <w:b/>
                <w:sz w:val="18"/>
                <w:szCs w:val="18"/>
              </w:rPr>
              <w:t>effect</w:t>
            </w:r>
            <w:r w:rsidRPr="004870C7">
              <w:rPr>
                <w:rFonts w:cs="Calibri"/>
                <w:sz w:val="18"/>
                <w:szCs w:val="18"/>
              </w:rPr>
              <w:t xml:space="preserve"> on the project if the future event were to occur.</w:t>
            </w:r>
          </w:p>
          <w:p w14:paraId="2EBD9CB1" w14:textId="77777777" w:rsidR="00283042" w:rsidRPr="004870C7" w:rsidRDefault="00283042" w:rsidP="00747168">
            <w:pPr>
              <w:spacing w:after="0"/>
              <w:jc w:val="left"/>
              <w:rPr>
                <w:rFonts w:cs="Calibri"/>
                <w:sz w:val="18"/>
                <w:szCs w:val="18"/>
              </w:rPr>
            </w:pPr>
          </w:p>
          <w:p w14:paraId="3B31004D" w14:textId="1A3CF8E9" w:rsidR="00283042" w:rsidRPr="004870C7" w:rsidRDefault="00283042" w:rsidP="00747168">
            <w:pPr>
              <w:spacing w:after="0"/>
              <w:jc w:val="left"/>
              <w:rPr>
                <w:rFonts w:cs="Calibri"/>
                <w:sz w:val="18"/>
                <w:szCs w:val="18"/>
              </w:rPr>
            </w:pPr>
            <w:r w:rsidRPr="004870C7">
              <w:rPr>
                <w:rFonts w:cs="Calibri"/>
                <w:sz w:val="18"/>
                <w:szCs w:val="18"/>
              </w:rPr>
              <w:t xml:space="preserve">Enter </w:t>
            </w:r>
            <w:r w:rsidRPr="004870C7">
              <w:rPr>
                <w:rFonts w:cs="Calibri"/>
                <w:b/>
                <w:sz w:val="18"/>
                <w:szCs w:val="18"/>
              </w:rPr>
              <w:t xml:space="preserve">likelihood </w:t>
            </w:r>
            <w:r w:rsidRPr="004870C7">
              <w:rPr>
                <w:rFonts w:cs="Calibri"/>
                <w:sz w:val="18"/>
                <w:szCs w:val="18"/>
              </w:rPr>
              <w:t>based on 1-5 scale (1 = Not likely; 5 = Expected)</w:t>
            </w:r>
          </w:p>
          <w:p w14:paraId="61E5672F" w14:textId="77777777" w:rsidR="00283042" w:rsidRPr="004870C7" w:rsidRDefault="00283042" w:rsidP="00747168">
            <w:pPr>
              <w:spacing w:after="0"/>
              <w:jc w:val="left"/>
              <w:rPr>
                <w:rFonts w:cs="Calibri"/>
                <w:sz w:val="18"/>
                <w:szCs w:val="18"/>
              </w:rPr>
            </w:pPr>
          </w:p>
          <w:p w14:paraId="38B44E6A" w14:textId="19E9877A" w:rsidR="00283042" w:rsidRPr="004870C7" w:rsidRDefault="00283042" w:rsidP="00747168">
            <w:pPr>
              <w:spacing w:after="0"/>
              <w:jc w:val="left"/>
              <w:rPr>
                <w:rFonts w:cs="Calibri"/>
                <w:sz w:val="18"/>
                <w:szCs w:val="18"/>
              </w:rPr>
            </w:pPr>
            <w:r w:rsidRPr="004870C7">
              <w:rPr>
                <w:rFonts w:cs="Calibri"/>
                <w:sz w:val="18"/>
                <w:szCs w:val="18"/>
              </w:rPr>
              <w:t xml:space="preserve">Enter </w:t>
            </w:r>
            <w:r w:rsidRPr="004870C7">
              <w:rPr>
                <w:rFonts w:cs="Calibri"/>
                <w:b/>
                <w:sz w:val="18"/>
                <w:szCs w:val="18"/>
              </w:rPr>
              <w:t>impact</w:t>
            </w:r>
            <w:r w:rsidRPr="004870C7">
              <w:rPr>
                <w:rFonts w:cs="Calibri"/>
                <w:sz w:val="18"/>
                <w:szCs w:val="18"/>
              </w:rPr>
              <w:t xml:space="preserve"> based on 1-5 scale (1 = Negligible 5 = Extreme)</w:t>
            </w:r>
          </w:p>
          <w:p w14:paraId="78311843" w14:textId="77777777" w:rsidR="00283042" w:rsidRPr="004870C7" w:rsidRDefault="00283042" w:rsidP="00747168">
            <w:pPr>
              <w:spacing w:after="0"/>
              <w:jc w:val="left"/>
              <w:rPr>
                <w:rFonts w:cs="Calibri"/>
                <w:sz w:val="18"/>
                <w:szCs w:val="18"/>
              </w:rPr>
            </w:pPr>
          </w:p>
          <w:p w14:paraId="0E7CC7CA" w14:textId="6CAD1DA9" w:rsidR="00283042" w:rsidRPr="004870C7" w:rsidRDefault="00283042" w:rsidP="00747168">
            <w:pPr>
              <w:spacing w:after="0"/>
              <w:jc w:val="left"/>
              <w:rPr>
                <w:rFonts w:cs="Calibri"/>
                <w:i/>
                <w:sz w:val="18"/>
                <w:szCs w:val="18"/>
              </w:rPr>
            </w:pPr>
            <w:r w:rsidRPr="004870C7">
              <w:rPr>
                <w:rFonts w:cs="Calibri"/>
                <w:i/>
                <w:sz w:val="18"/>
                <w:szCs w:val="18"/>
              </w:rPr>
              <w:t>Based on Likelihood and Impact, use the Risk Matrix to identify the Risk Level (high, Substantial, Moderate or Low)</w:t>
            </w:r>
          </w:p>
        </w:tc>
        <w:tc>
          <w:tcPr>
            <w:tcW w:w="3212" w:type="dxa"/>
            <w:shd w:val="clear" w:color="auto" w:fill="B4C6E7"/>
          </w:tcPr>
          <w:p w14:paraId="64095730" w14:textId="77777777" w:rsidR="00283042" w:rsidRPr="004870C7" w:rsidRDefault="00283042" w:rsidP="00FD462B">
            <w:pPr>
              <w:spacing w:after="0"/>
              <w:rPr>
                <w:rFonts w:cs="Calibri"/>
                <w:sz w:val="18"/>
                <w:szCs w:val="18"/>
              </w:rPr>
            </w:pPr>
            <w:r w:rsidRPr="004870C7">
              <w:rPr>
                <w:rFonts w:cs="Calibri"/>
                <w:sz w:val="18"/>
                <w:szCs w:val="18"/>
              </w:rPr>
              <w:t>What actions have been taken/will be taken to manage this risk.</w:t>
            </w:r>
          </w:p>
          <w:p w14:paraId="5562BF3A" w14:textId="77777777" w:rsidR="00283042" w:rsidRPr="004870C7" w:rsidRDefault="00283042" w:rsidP="00FD462B">
            <w:pPr>
              <w:spacing w:after="0"/>
              <w:rPr>
                <w:rFonts w:cs="Calibri"/>
                <w:sz w:val="18"/>
                <w:szCs w:val="18"/>
              </w:rPr>
            </w:pPr>
          </w:p>
          <w:p w14:paraId="189C4337" w14:textId="26C083AE" w:rsidR="00283042" w:rsidRPr="004870C7" w:rsidRDefault="00283042" w:rsidP="00FD462B">
            <w:pPr>
              <w:spacing w:after="0"/>
              <w:rPr>
                <w:rFonts w:cs="Calibri"/>
                <w:i/>
                <w:sz w:val="18"/>
                <w:szCs w:val="18"/>
              </w:rPr>
            </w:pPr>
          </w:p>
        </w:tc>
        <w:tc>
          <w:tcPr>
            <w:tcW w:w="0" w:type="auto"/>
            <w:shd w:val="clear" w:color="auto" w:fill="B4C6E7"/>
          </w:tcPr>
          <w:p w14:paraId="3DCB4682" w14:textId="77777777" w:rsidR="00283042" w:rsidRPr="004870C7" w:rsidRDefault="00283042" w:rsidP="00FD462B">
            <w:pPr>
              <w:spacing w:after="0"/>
              <w:rPr>
                <w:rFonts w:cs="Calibri"/>
                <w:sz w:val="18"/>
                <w:szCs w:val="18"/>
              </w:rPr>
            </w:pPr>
            <w:r w:rsidRPr="004870C7">
              <w:rPr>
                <w:rFonts w:cs="Calibri"/>
                <w:sz w:val="18"/>
                <w:szCs w:val="18"/>
              </w:rPr>
              <w:t>The person or entity with the responsibility to manage the risk.</w:t>
            </w:r>
          </w:p>
          <w:p w14:paraId="3A5CC58A" w14:textId="77777777" w:rsidR="00283042" w:rsidRPr="004870C7" w:rsidRDefault="00283042" w:rsidP="00FD462B">
            <w:pPr>
              <w:spacing w:after="0"/>
              <w:rPr>
                <w:rFonts w:cs="Calibri"/>
                <w:sz w:val="18"/>
                <w:szCs w:val="18"/>
              </w:rPr>
            </w:pPr>
          </w:p>
          <w:p w14:paraId="3A6FE89D" w14:textId="551A8B6E" w:rsidR="00283042" w:rsidRPr="004870C7" w:rsidRDefault="00283042" w:rsidP="00FD462B">
            <w:pPr>
              <w:spacing w:after="0"/>
              <w:rPr>
                <w:rFonts w:cs="Calibri"/>
                <w:i/>
                <w:sz w:val="18"/>
                <w:szCs w:val="18"/>
              </w:rPr>
            </w:pPr>
          </w:p>
        </w:tc>
      </w:tr>
      <w:tr w:rsidR="00283042" w:rsidRPr="004870C7" w14:paraId="674E4E19" w14:textId="77777777" w:rsidTr="00747168">
        <w:tc>
          <w:tcPr>
            <w:tcW w:w="0" w:type="auto"/>
          </w:tcPr>
          <w:p w14:paraId="0FF1B58A" w14:textId="77777777" w:rsidR="00283042" w:rsidRPr="004870C7" w:rsidRDefault="00283042" w:rsidP="00FD462B">
            <w:pPr>
              <w:spacing w:after="0"/>
              <w:rPr>
                <w:rFonts w:cs="Calibri"/>
                <w:sz w:val="18"/>
                <w:szCs w:val="18"/>
              </w:rPr>
            </w:pPr>
            <w:r w:rsidRPr="004870C7">
              <w:rPr>
                <w:rFonts w:cs="Calibri"/>
                <w:sz w:val="18"/>
                <w:szCs w:val="18"/>
              </w:rPr>
              <w:t>1</w:t>
            </w:r>
          </w:p>
        </w:tc>
        <w:tc>
          <w:tcPr>
            <w:tcW w:w="2117" w:type="dxa"/>
          </w:tcPr>
          <w:p w14:paraId="6E6B7CD2" w14:textId="461A0F0D" w:rsidR="00283042" w:rsidRPr="004870C7" w:rsidRDefault="00C54CB2" w:rsidP="00FD462B">
            <w:pPr>
              <w:spacing w:after="0"/>
              <w:rPr>
                <w:rFonts w:cs="Calibri"/>
                <w:sz w:val="18"/>
                <w:szCs w:val="18"/>
              </w:rPr>
            </w:pPr>
            <w:r w:rsidRPr="004870C7">
              <w:rPr>
                <w:rFonts w:cs="Calibri"/>
                <w:bCs/>
                <w:sz w:val="18"/>
                <w:szCs w:val="18"/>
              </w:rPr>
              <w:t xml:space="preserve">The climate change issues not high on the political agenda of the country (due to other economic and social issues) and thus </w:t>
            </w:r>
            <w:r w:rsidR="00932753" w:rsidRPr="004870C7">
              <w:rPr>
                <w:rFonts w:cs="Calibri"/>
                <w:bCs/>
                <w:sz w:val="18"/>
                <w:szCs w:val="18"/>
              </w:rPr>
              <w:t>4NC/1BTR</w:t>
            </w:r>
            <w:r w:rsidRPr="004870C7">
              <w:rPr>
                <w:rFonts w:cs="Calibri"/>
                <w:bCs/>
                <w:sz w:val="18"/>
                <w:szCs w:val="18"/>
              </w:rPr>
              <w:t xml:space="preserve"> not adopted by the Government on time.</w:t>
            </w:r>
          </w:p>
        </w:tc>
        <w:tc>
          <w:tcPr>
            <w:tcW w:w="2064" w:type="dxa"/>
          </w:tcPr>
          <w:p w14:paraId="45810E58" w14:textId="77777777" w:rsidR="00283042" w:rsidRPr="004870C7" w:rsidRDefault="00283042" w:rsidP="00747168">
            <w:pPr>
              <w:spacing w:after="0"/>
              <w:jc w:val="left"/>
              <w:rPr>
                <w:rFonts w:cs="Calibri"/>
                <w:sz w:val="18"/>
                <w:szCs w:val="18"/>
              </w:rPr>
            </w:pPr>
            <w:r w:rsidRPr="004870C7">
              <w:rPr>
                <w:rFonts w:cs="Calibri"/>
                <w:sz w:val="18"/>
                <w:szCs w:val="18"/>
              </w:rPr>
              <w:t>Political</w:t>
            </w:r>
          </w:p>
          <w:p w14:paraId="4DCAF67C" w14:textId="51BCAE66" w:rsidR="00283042" w:rsidRPr="004870C7" w:rsidRDefault="00283042" w:rsidP="00747168">
            <w:pPr>
              <w:spacing w:after="0"/>
              <w:jc w:val="left"/>
              <w:rPr>
                <w:rFonts w:cs="Calibri"/>
                <w:sz w:val="18"/>
                <w:szCs w:val="18"/>
              </w:rPr>
            </w:pPr>
          </w:p>
        </w:tc>
        <w:tc>
          <w:tcPr>
            <w:tcW w:w="2610" w:type="dxa"/>
          </w:tcPr>
          <w:p w14:paraId="52DA8438" w14:textId="6473F156" w:rsidR="00C54CB2" w:rsidRPr="004870C7" w:rsidRDefault="00C54CB2" w:rsidP="00C54CB2">
            <w:pPr>
              <w:spacing w:after="0"/>
              <w:rPr>
                <w:rFonts w:cs="Calibri"/>
                <w:sz w:val="18"/>
                <w:szCs w:val="18"/>
              </w:rPr>
            </w:pPr>
            <w:r w:rsidRPr="004870C7">
              <w:rPr>
                <w:rFonts w:cs="Calibri"/>
                <w:sz w:val="18"/>
                <w:szCs w:val="18"/>
              </w:rPr>
              <w:t>In case this risk occurs</w:t>
            </w:r>
            <w:r w:rsidR="00DA0DA2" w:rsidRPr="004870C7">
              <w:rPr>
                <w:rFonts w:cs="Calibri"/>
                <w:sz w:val="18"/>
                <w:szCs w:val="18"/>
              </w:rPr>
              <w:t>,</w:t>
            </w:r>
            <w:r w:rsidRPr="004870C7">
              <w:rPr>
                <w:rFonts w:cs="Calibri"/>
                <w:sz w:val="18"/>
                <w:szCs w:val="18"/>
              </w:rPr>
              <w:t xml:space="preserve"> Montenegro might not submit 4NC/1BTR to the UNFCCC Secretariat in time. </w:t>
            </w:r>
          </w:p>
          <w:p w14:paraId="240F2E10" w14:textId="77777777" w:rsidR="00C54CB2" w:rsidRPr="004870C7" w:rsidRDefault="00C54CB2" w:rsidP="00C54CB2">
            <w:pPr>
              <w:spacing w:after="0"/>
              <w:rPr>
                <w:rFonts w:cs="Calibri"/>
                <w:sz w:val="18"/>
                <w:szCs w:val="18"/>
              </w:rPr>
            </w:pPr>
          </w:p>
          <w:p w14:paraId="7566EDDB" w14:textId="5EEFA7FC" w:rsidR="00C54CB2" w:rsidRPr="004870C7" w:rsidRDefault="00C54CB2" w:rsidP="00C54CB2">
            <w:pPr>
              <w:spacing w:after="0"/>
              <w:rPr>
                <w:rFonts w:cs="Calibri"/>
                <w:sz w:val="18"/>
                <w:szCs w:val="18"/>
              </w:rPr>
            </w:pPr>
            <w:r w:rsidRPr="004870C7">
              <w:rPr>
                <w:rFonts w:cs="Calibri"/>
                <w:sz w:val="18"/>
                <w:szCs w:val="18"/>
              </w:rPr>
              <w:t>L = 3</w:t>
            </w:r>
          </w:p>
          <w:p w14:paraId="08BFE6CB" w14:textId="77777777" w:rsidR="00C54CB2" w:rsidRPr="004870C7" w:rsidRDefault="00C54CB2" w:rsidP="00C54CB2">
            <w:pPr>
              <w:spacing w:after="0"/>
              <w:rPr>
                <w:rFonts w:cs="Calibri"/>
                <w:sz w:val="18"/>
                <w:szCs w:val="18"/>
              </w:rPr>
            </w:pPr>
          </w:p>
          <w:p w14:paraId="4505B384" w14:textId="16243762" w:rsidR="00C54CB2" w:rsidRPr="004870C7" w:rsidRDefault="00C54CB2" w:rsidP="00C54CB2">
            <w:pPr>
              <w:spacing w:after="0"/>
              <w:rPr>
                <w:rFonts w:cs="Calibri"/>
                <w:sz w:val="18"/>
                <w:szCs w:val="18"/>
              </w:rPr>
            </w:pPr>
            <w:r w:rsidRPr="004870C7">
              <w:rPr>
                <w:rFonts w:cs="Calibri"/>
                <w:sz w:val="18"/>
                <w:szCs w:val="18"/>
              </w:rPr>
              <w:t>I = 3</w:t>
            </w:r>
          </w:p>
          <w:p w14:paraId="06C4AA85" w14:textId="77777777" w:rsidR="00C54CB2" w:rsidRPr="004870C7" w:rsidRDefault="00C54CB2" w:rsidP="00C54CB2">
            <w:pPr>
              <w:spacing w:after="0"/>
              <w:rPr>
                <w:rFonts w:cs="Calibri"/>
                <w:sz w:val="18"/>
                <w:szCs w:val="18"/>
              </w:rPr>
            </w:pPr>
          </w:p>
          <w:p w14:paraId="30C22AF1" w14:textId="1EBC3470" w:rsidR="00283042" w:rsidRPr="004870C7" w:rsidRDefault="002F3DE6" w:rsidP="00FD462B">
            <w:pPr>
              <w:spacing w:after="0"/>
              <w:rPr>
                <w:rFonts w:cs="Calibri"/>
                <w:sz w:val="18"/>
                <w:szCs w:val="18"/>
              </w:rPr>
            </w:pPr>
            <w:r w:rsidRPr="004870C7">
              <w:rPr>
                <w:noProof/>
              </w:rPr>
              <w:lastRenderedPageBreak/>
              <w:drawing>
                <wp:inline distT="0" distB="0" distL="0" distR="0" wp14:anchorId="353477EB" wp14:editId="06AF67B4">
                  <wp:extent cx="2457450" cy="2781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54745" t="33333" r="15394" b="12592"/>
                          <a:stretch/>
                        </pic:blipFill>
                        <pic:spPr bwMode="auto">
                          <a:xfrm>
                            <a:off x="0" y="0"/>
                            <a:ext cx="2457450" cy="2781300"/>
                          </a:xfrm>
                          <a:prstGeom prst="rect">
                            <a:avLst/>
                          </a:prstGeom>
                          <a:ln>
                            <a:noFill/>
                          </a:ln>
                          <a:extLst>
                            <a:ext uri="{53640926-AAD7-44D8-BBD7-CCE9431645EC}">
                              <a14:shadowObscured xmlns:a14="http://schemas.microsoft.com/office/drawing/2010/main"/>
                            </a:ext>
                          </a:extLst>
                        </pic:spPr>
                      </pic:pic>
                    </a:graphicData>
                  </a:graphic>
                </wp:inline>
              </w:drawing>
            </w:r>
          </w:p>
          <w:p w14:paraId="23F62888" w14:textId="77777777" w:rsidR="00283042" w:rsidRPr="004870C7" w:rsidRDefault="00283042" w:rsidP="00FD462B">
            <w:pPr>
              <w:spacing w:after="0"/>
              <w:rPr>
                <w:rFonts w:cs="Calibri"/>
                <w:sz w:val="18"/>
                <w:szCs w:val="18"/>
              </w:rPr>
            </w:pPr>
          </w:p>
          <w:p w14:paraId="357DC019" w14:textId="0F57CD66" w:rsidR="00283042" w:rsidRPr="004870C7" w:rsidRDefault="00747168" w:rsidP="00FD462B">
            <w:pPr>
              <w:spacing w:after="0"/>
              <w:rPr>
                <w:rFonts w:cs="Calibri"/>
                <w:sz w:val="18"/>
                <w:szCs w:val="18"/>
              </w:rPr>
            </w:pPr>
            <w:r w:rsidRPr="004870C7">
              <w:rPr>
                <w:rFonts w:cs="Calibri"/>
                <w:sz w:val="18"/>
                <w:szCs w:val="18"/>
              </w:rPr>
              <w:t>L</w:t>
            </w:r>
            <w:r w:rsidR="00283042" w:rsidRPr="004870C7">
              <w:rPr>
                <w:rFonts w:cs="Calibri"/>
                <w:sz w:val="18"/>
                <w:szCs w:val="18"/>
              </w:rPr>
              <w:t xml:space="preserve"> =</w:t>
            </w:r>
          </w:p>
          <w:p w14:paraId="343F5EFE" w14:textId="77777777" w:rsidR="00283042" w:rsidRPr="004870C7" w:rsidRDefault="00283042" w:rsidP="00FD462B">
            <w:pPr>
              <w:spacing w:after="0"/>
              <w:rPr>
                <w:rFonts w:cs="Calibri"/>
                <w:sz w:val="18"/>
                <w:szCs w:val="18"/>
              </w:rPr>
            </w:pPr>
            <w:r w:rsidRPr="004870C7">
              <w:rPr>
                <w:rFonts w:cs="Calibri"/>
                <w:sz w:val="18"/>
                <w:szCs w:val="18"/>
              </w:rPr>
              <w:t xml:space="preserve">I = </w:t>
            </w:r>
          </w:p>
        </w:tc>
        <w:tc>
          <w:tcPr>
            <w:tcW w:w="3212" w:type="dxa"/>
          </w:tcPr>
          <w:p w14:paraId="7E2BFCED" w14:textId="5C989408" w:rsidR="00283042" w:rsidRPr="004870C7" w:rsidRDefault="00136E3B" w:rsidP="00FD462B">
            <w:pPr>
              <w:spacing w:after="0"/>
              <w:rPr>
                <w:rFonts w:cs="Calibri"/>
                <w:sz w:val="18"/>
                <w:szCs w:val="18"/>
              </w:rPr>
            </w:pPr>
            <w:r w:rsidRPr="004870C7">
              <w:rPr>
                <w:rFonts w:cs="Calibri"/>
                <w:sz w:val="18"/>
                <w:szCs w:val="18"/>
              </w:rPr>
              <w:lastRenderedPageBreak/>
              <w:t>The project team will work closely with the Department</w:t>
            </w:r>
            <w:r w:rsidR="00DA0DA2" w:rsidRPr="004870C7">
              <w:rPr>
                <w:rFonts w:cs="Calibri"/>
                <w:sz w:val="18"/>
                <w:szCs w:val="18"/>
              </w:rPr>
              <w:t xml:space="preserve"> </w:t>
            </w:r>
            <w:r w:rsidRPr="004870C7">
              <w:rPr>
                <w:rFonts w:cs="Calibri"/>
                <w:sz w:val="18"/>
                <w:szCs w:val="18"/>
              </w:rPr>
              <w:t>for Climate Change, including UNFCCC focal point, so that they are timely informed and aware about development of all 4NC/1BTR chapters.</w:t>
            </w:r>
          </w:p>
        </w:tc>
        <w:tc>
          <w:tcPr>
            <w:tcW w:w="0" w:type="auto"/>
          </w:tcPr>
          <w:p w14:paraId="78931B50" w14:textId="59B4682A" w:rsidR="00283042" w:rsidRPr="004870C7" w:rsidRDefault="00C54CB2" w:rsidP="00FD462B">
            <w:pPr>
              <w:spacing w:after="0"/>
              <w:rPr>
                <w:rFonts w:cs="Calibri"/>
                <w:sz w:val="18"/>
                <w:szCs w:val="18"/>
              </w:rPr>
            </w:pPr>
            <w:r w:rsidRPr="004870C7">
              <w:rPr>
                <w:rFonts w:cs="Calibri"/>
                <w:sz w:val="18"/>
                <w:szCs w:val="18"/>
              </w:rPr>
              <w:t>Project Manager</w:t>
            </w:r>
          </w:p>
        </w:tc>
      </w:tr>
      <w:tr w:rsidR="00283042" w:rsidRPr="004870C7" w14:paraId="6230BE95" w14:textId="77777777" w:rsidTr="00747168">
        <w:tc>
          <w:tcPr>
            <w:tcW w:w="0" w:type="auto"/>
          </w:tcPr>
          <w:p w14:paraId="4217027A" w14:textId="77777777" w:rsidR="00283042" w:rsidRPr="004870C7" w:rsidRDefault="00283042" w:rsidP="00FD462B">
            <w:pPr>
              <w:spacing w:after="0"/>
              <w:rPr>
                <w:rFonts w:cs="Calibri"/>
                <w:sz w:val="18"/>
                <w:szCs w:val="18"/>
              </w:rPr>
            </w:pPr>
            <w:r w:rsidRPr="004870C7">
              <w:rPr>
                <w:rFonts w:cs="Calibri"/>
                <w:sz w:val="18"/>
                <w:szCs w:val="18"/>
              </w:rPr>
              <w:t>2</w:t>
            </w:r>
          </w:p>
        </w:tc>
        <w:tc>
          <w:tcPr>
            <w:tcW w:w="2117" w:type="dxa"/>
          </w:tcPr>
          <w:p w14:paraId="741855A2" w14:textId="072A1682" w:rsidR="00283042" w:rsidRPr="004870C7" w:rsidRDefault="00136E3B" w:rsidP="00FD462B">
            <w:pPr>
              <w:spacing w:after="0"/>
              <w:rPr>
                <w:rFonts w:cs="Calibri"/>
                <w:sz w:val="18"/>
                <w:szCs w:val="18"/>
              </w:rPr>
            </w:pPr>
            <w:r w:rsidRPr="004870C7">
              <w:rPr>
                <w:rFonts w:cs="Calibri"/>
                <w:sz w:val="18"/>
                <w:szCs w:val="18"/>
              </w:rPr>
              <w:t>Insufficient technical and human capacities of the national partners to deal with climate change issues (GHG Inventory, projections, climate models)</w:t>
            </w:r>
          </w:p>
        </w:tc>
        <w:tc>
          <w:tcPr>
            <w:tcW w:w="2064" w:type="dxa"/>
          </w:tcPr>
          <w:p w14:paraId="72A4F430" w14:textId="7467BD1E" w:rsidR="00283042" w:rsidRPr="004870C7" w:rsidRDefault="00136E3B" w:rsidP="00747168">
            <w:pPr>
              <w:spacing w:after="0"/>
              <w:jc w:val="left"/>
              <w:rPr>
                <w:rFonts w:cs="Calibri"/>
                <w:sz w:val="18"/>
                <w:szCs w:val="18"/>
              </w:rPr>
            </w:pPr>
            <w:r w:rsidRPr="004870C7">
              <w:rPr>
                <w:rFonts w:cs="Calibri"/>
                <w:sz w:val="18"/>
                <w:szCs w:val="18"/>
              </w:rPr>
              <w:t>Operational</w:t>
            </w:r>
          </w:p>
        </w:tc>
        <w:tc>
          <w:tcPr>
            <w:tcW w:w="2610" w:type="dxa"/>
          </w:tcPr>
          <w:p w14:paraId="4792C868" w14:textId="5D31DB2B" w:rsidR="00136E3B" w:rsidRPr="004870C7" w:rsidRDefault="00136E3B" w:rsidP="00136E3B">
            <w:pPr>
              <w:spacing w:after="0"/>
              <w:rPr>
                <w:rFonts w:cs="Calibri"/>
                <w:sz w:val="18"/>
                <w:szCs w:val="18"/>
              </w:rPr>
            </w:pPr>
            <w:r w:rsidRPr="004870C7">
              <w:rPr>
                <w:rFonts w:cs="Calibri"/>
                <w:sz w:val="18"/>
                <w:szCs w:val="18"/>
              </w:rPr>
              <w:t xml:space="preserve">In case this risk </w:t>
            </w:r>
            <w:r w:rsidR="00147EA8" w:rsidRPr="004870C7">
              <w:rPr>
                <w:rFonts w:cs="Calibri"/>
                <w:sz w:val="18"/>
                <w:szCs w:val="18"/>
              </w:rPr>
              <w:t>occurs,</w:t>
            </w:r>
            <w:r w:rsidRPr="004870C7">
              <w:rPr>
                <w:rFonts w:cs="Calibri"/>
                <w:sz w:val="18"/>
                <w:szCs w:val="18"/>
              </w:rPr>
              <w:t xml:space="preserve"> there will be higher uncertainty of the GHG inventory data and consequently projections will have higher uncertainty. </w:t>
            </w:r>
          </w:p>
          <w:p w14:paraId="651F264E" w14:textId="77777777" w:rsidR="00136E3B" w:rsidRPr="004870C7" w:rsidRDefault="00136E3B" w:rsidP="00136E3B">
            <w:pPr>
              <w:spacing w:after="0"/>
              <w:rPr>
                <w:rFonts w:cs="Calibri"/>
                <w:sz w:val="18"/>
                <w:szCs w:val="18"/>
              </w:rPr>
            </w:pPr>
          </w:p>
          <w:p w14:paraId="770D6715" w14:textId="7AED16F9" w:rsidR="00136E3B" w:rsidRPr="004870C7" w:rsidRDefault="00136E3B" w:rsidP="00136E3B">
            <w:pPr>
              <w:spacing w:after="0"/>
              <w:rPr>
                <w:rFonts w:cs="Calibri"/>
                <w:sz w:val="18"/>
                <w:szCs w:val="18"/>
              </w:rPr>
            </w:pPr>
            <w:r w:rsidRPr="004870C7">
              <w:rPr>
                <w:rFonts w:cs="Calibri"/>
                <w:sz w:val="18"/>
                <w:szCs w:val="18"/>
              </w:rPr>
              <w:t>L = 3</w:t>
            </w:r>
          </w:p>
          <w:p w14:paraId="53C0CFC3" w14:textId="58388E48" w:rsidR="00283042" w:rsidRPr="004870C7" w:rsidRDefault="00136E3B" w:rsidP="00136E3B">
            <w:pPr>
              <w:spacing w:after="0"/>
              <w:rPr>
                <w:rFonts w:cs="Calibri"/>
                <w:sz w:val="18"/>
                <w:szCs w:val="18"/>
              </w:rPr>
            </w:pPr>
            <w:r w:rsidRPr="004870C7">
              <w:rPr>
                <w:rFonts w:cs="Calibri"/>
                <w:sz w:val="18"/>
                <w:szCs w:val="18"/>
              </w:rPr>
              <w:t>I = 3</w:t>
            </w:r>
          </w:p>
        </w:tc>
        <w:tc>
          <w:tcPr>
            <w:tcW w:w="3212" w:type="dxa"/>
          </w:tcPr>
          <w:p w14:paraId="26EF562A" w14:textId="7106F526" w:rsidR="00283042" w:rsidRPr="004870C7" w:rsidRDefault="00136E3B" w:rsidP="00FD462B">
            <w:pPr>
              <w:spacing w:after="0"/>
              <w:rPr>
                <w:rFonts w:cs="Calibri"/>
                <w:sz w:val="18"/>
                <w:szCs w:val="18"/>
              </w:rPr>
            </w:pPr>
            <w:r w:rsidRPr="004870C7">
              <w:rPr>
                <w:rFonts w:cs="Calibri"/>
                <w:sz w:val="18"/>
                <w:szCs w:val="18"/>
              </w:rPr>
              <w:t>All project activities will have capacity building component to the extent possible, in order to enable national partners for future reporting requirements.</w:t>
            </w:r>
          </w:p>
        </w:tc>
        <w:tc>
          <w:tcPr>
            <w:tcW w:w="0" w:type="auto"/>
          </w:tcPr>
          <w:p w14:paraId="46C9596E" w14:textId="548B0D0D" w:rsidR="00283042" w:rsidRPr="004870C7" w:rsidRDefault="00136E3B" w:rsidP="00FD462B">
            <w:pPr>
              <w:spacing w:after="0"/>
              <w:rPr>
                <w:rFonts w:cs="Calibri"/>
                <w:sz w:val="18"/>
                <w:szCs w:val="18"/>
              </w:rPr>
            </w:pPr>
            <w:r w:rsidRPr="004870C7">
              <w:rPr>
                <w:rFonts w:cs="Calibri"/>
                <w:sz w:val="18"/>
                <w:szCs w:val="18"/>
              </w:rPr>
              <w:t>Project Manager</w:t>
            </w:r>
          </w:p>
        </w:tc>
      </w:tr>
      <w:tr w:rsidR="00283042" w:rsidRPr="004870C7" w14:paraId="5EA5E5BE" w14:textId="77777777" w:rsidTr="00747168">
        <w:tc>
          <w:tcPr>
            <w:tcW w:w="0" w:type="auto"/>
          </w:tcPr>
          <w:p w14:paraId="030C3818" w14:textId="77777777" w:rsidR="00283042" w:rsidRPr="004870C7" w:rsidRDefault="00283042" w:rsidP="00FD462B">
            <w:pPr>
              <w:spacing w:after="0"/>
              <w:rPr>
                <w:rFonts w:cs="Calibri"/>
                <w:sz w:val="18"/>
                <w:szCs w:val="18"/>
              </w:rPr>
            </w:pPr>
            <w:r w:rsidRPr="004870C7">
              <w:rPr>
                <w:rFonts w:cs="Calibri"/>
                <w:sz w:val="18"/>
                <w:szCs w:val="18"/>
              </w:rPr>
              <w:t>3</w:t>
            </w:r>
          </w:p>
        </w:tc>
        <w:tc>
          <w:tcPr>
            <w:tcW w:w="2117" w:type="dxa"/>
          </w:tcPr>
          <w:p w14:paraId="0BF03296" w14:textId="5A89E789" w:rsidR="00283042" w:rsidRPr="004870C7" w:rsidRDefault="00136E3B" w:rsidP="00FD462B">
            <w:pPr>
              <w:spacing w:after="0"/>
              <w:rPr>
                <w:rFonts w:cs="Calibri"/>
                <w:sz w:val="18"/>
                <w:szCs w:val="18"/>
              </w:rPr>
            </w:pPr>
            <w:r w:rsidRPr="004870C7">
              <w:rPr>
                <w:rFonts w:cs="Calibri"/>
                <w:sz w:val="18"/>
                <w:szCs w:val="18"/>
              </w:rPr>
              <w:t>Lack of experience of the IP in managing GEF funded project.</w:t>
            </w:r>
          </w:p>
        </w:tc>
        <w:tc>
          <w:tcPr>
            <w:tcW w:w="2064" w:type="dxa"/>
          </w:tcPr>
          <w:p w14:paraId="0D31EEC5" w14:textId="77777777" w:rsidR="00136E3B" w:rsidRPr="004870C7" w:rsidRDefault="00136E3B" w:rsidP="00136E3B">
            <w:pPr>
              <w:spacing w:after="0"/>
              <w:jc w:val="left"/>
              <w:rPr>
                <w:rFonts w:cs="Calibri"/>
                <w:sz w:val="18"/>
                <w:szCs w:val="18"/>
              </w:rPr>
            </w:pPr>
            <w:r w:rsidRPr="004870C7">
              <w:rPr>
                <w:rFonts w:cs="Calibri"/>
                <w:sz w:val="18"/>
                <w:szCs w:val="18"/>
              </w:rPr>
              <w:t xml:space="preserve">Operational </w:t>
            </w:r>
          </w:p>
          <w:p w14:paraId="3133E5C7" w14:textId="77844A95" w:rsidR="00283042" w:rsidRPr="004870C7" w:rsidRDefault="00283042" w:rsidP="00136E3B">
            <w:pPr>
              <w:spacing w:after="0"/>
              <w:rPr>
                <w:rFonts w:cs="Calibri"/>
                <w:sz w:val="18"/>
                <w:szCs w:val="18"/>
              </w:rPr>
            </w:pPr>
          </w:p>
        </w:tc>
        <w:tc>
          <w:tcPr>
            <w:tcW w:w="2610" w:type="dxa"/>
          </w:tcPr>
          <w:p w14:paraId="6AA0675A" w14:textId="77777777" w:rsidR="00283042" w:rsidRPr="004870C7" w:rsidRDefault="00136E3B" w:rsidP="00FD462B">
            <w:pPr>
              <w:spacing w:after="0"/>
              <w:rPr>
                <w:rFonts w:cs="Calibri"/>
                <w:sz w:val="18"/>
                <w:szCs w:val="18"/>
              </w:rPr>
            </w:pPr>
            <w:r w:rsidRPr="004870C7">
              <w:rPr>
                <w:rFonts w:cs="Calibri"/>
                <w:sz w:val="18"/>
                <w:szCs w:val="18"/>
              </w:rPr>
              <w:t xml:space="preserve">In case this risk occurs, the project implementation will be slowed down. </w:t>
            </w:r>
          </w:p>
          <w:p w14:paraId="2BF12DF1" w14:textId="77777777" w:rsidR="00136E3B" w:rsidRPr="004870C7" w:rsidRDefault="00136E3B" w:rsidP="00FD462B">
            <w:pPr>
              <w:spacing w:after="0"/>
              <w:rPr>
                <w:rFonts w:cs="Calibri"/>
                <w:sz w:val="18"/>
                <w:szCs w:val="18"/>
              </w:rPr>
            </w:pPr>
            <w:r w:rsidRPr="004870C7">
              <w:rPr>
                <w:rFonts w:cs="Calibri"/>
                <w:sz w:val="18"/>
                <w:szCs w:val="18"/>
              </w:rPr>
              <w:t>L = 3</w:t>
            </w:r>
          </w:p>
          <w:p w14:paraId="2F02C0A9" w14:textId="72B111DE" w:rsidR="00136E3B" w:rsidRPr="004870C7" w:rsidRDefault="00136E3B" w:rsidP="00FD462B">
            <w:pPr>
              <w:spacing w:after="0"/>
              <w:rPr>
                <w:rFonts w:cs="Calibri"/>
                <w:sz w:val="18"/>
                <w:szCs w:val="18"/>
              </w:rPr>
            </w:pPr>
            <w:r w:rsidRPr="004870C7">
              <w:rPr>
                <w:rFonts w:cs="Calibri"/>
                <w:sz w:val="18"/>
                <w:szCs w:val="18"/>
              </w:rPr>
              <w:t>I = 3</w:t>
            </w:r>
          </w:p>
        </w:tc>
        <w:tc>
          <w:tcPr>
            <w:tcW w:w="3212" w:type="dxa"/>
          </w:tcPr>
          <w:p w14:paraId="17A5E42C" w14:textId="46E567AA" w:rsidR="00283042" w:rsidRPr="004870C7" w:rsidRDefault="00136E3B" w:rsidP="00FD462B">
            <w:pPr>
              <w:spacing w:after="0"/>
              <w:rPr>
                <w:rFonts w:cs="Calibri"/>
                <w:sz w:val="18"/>
                <w:szCs w:val="18"/>
              </w:rPr>
            </w:pPr>
            <w:r w:rsidRPr="004870C7">
              <w:rPr>
                <w:rFonts w:cs="Calibri"/>
                <w:sz w:val="18"/>
                <w:szCs w:val="18"/>
              </w:rPr>
              <w:t xml:space="preserve">UNDP will closely monitor and supervise implementation from the very beginning, in order to provide proper management response in time. </w:t>
            </w:r>
          </w:p>
        </w:tc>
        <w:tc>
          <w:tcPr>
            <w:tcW w:w="0" w:type="auto"/>
          </w:tcPr>
          <w:p w14:paraId="4C0602E1" w14:textId="77777777" w:rsidR="00283042" w:rsidRDefault="00136E3B" w:rsidP="00FD462B">
            <w:pPr>
              <w:spacing w:after="0"/>
              <w:rPr>
                <w:rFonts w:cs="Calibri"/>
                <w:sz w:val="18"/>
                <w:szCs w:val="18"/>
              </w:rPr>
            </w:pPr>
            <w:r w:rsidRPr="004870C7">
              <w:rPr>
                <w:rFonts w:cs="Calibri"/>
                <w:sz w:val="18"/>
                <w:szCs w:val="18"/>
              </w:rPr>
              <w:t>Project Manager</w:t>
            </w:r>
            <w:r w:rsidR="00CA3199">
              <w:rPr>
                <w:rFonts w:cs="Calibri"/>
                <w:sz w:val="18"/>
                <w:szCs w:val="18"/>
              </w:rPr>
              <w:t>,</w:t>
            </w:r>
          </w:p>
          <w:p w14:paraId="522F181E" w14:textId="181B60D0" w:rsidR="00CA3199" w:rsidRPr="004870C7" w:rsidRDefault="00CA3199" w:rsidP="00FD462B">
            <w:pPr>
              <w:spacing w:after="0"/>
              <w:rPr>
                <w:rFonts w:cs="Calibri"/>
                <w:sz w:val="18"/>
                <w:szCs w:val="18"/>
              </w:rPr>
            </w:pPr>
            <w:r>
              <w:rPr>
                <w:rFonts w:cs="Calibri"/>
                <w:sz w:val="18"/>
                <w:szCs w:val="18"/>
              </w:rPr>
              <w:t>UNDP</w:t>
            </w:r>
          </w:p>
        </w:tc>
      </w:tr>
      <w:tr w:rsidR="00DA0DA2" w:rsidRPr="004870C7" w14:paraId="67E90A34" w14:textId="77777777" w:rsidTr="00747168">
        <w:tc>
          <w:tcPr>
            <w:tcW w:w="0" w:type="auto"/>
          </w:tcPr>
          <w:p w14:paraId="56FE139F" w14:textId="72394886" w:rsidR="00DA0DA2" w:rsidRPr="004870C7" w:rsidRDefault="00DA0DA2" w:rsidP="00FD462B">
            <w:pPr>
              <w:spacing w:after="0"/>
              <w:rPr>
                <w:rFonts w:cs="Calibri"/>
                <w:sz w:val="18"/>
                <w:szCs w:val="18"/>
              </w:rPr>
            </w:pPr>
            <w:r w:rsidRPr="004870C7">
              <w:rPr>
                <w:rFonts w:cs="Calibri"/>
                <w:sz w:val="18"/>
                <w:szCs w:val="18"/>
              </w:rPr>
              <w:t>4</w:t>
            </w:r>
          </w:p>
        </w:tc>
        <w:tc>
          <w:tcPr>
            <w:tcW w:w="2117" w:type="dxa"/>
          </w:tcPr>
          <w:p w14:paraId="6C43AE99" w14:textId="4C2AA336" w:rsidR="00DA0DA2" w:rsidRPr="004870C7" w:rsidRDefault="00DA0DA2" w:rsidP="00FD462B">
            <w:pPr>
              <w:spacing w:after="0"/>
              <w:rPr>
                <w:rFonts w:cs="Calibri"/>
                <w:sz w:val="18"/>
                <w:szCs w:val="18"/>
              </w:rPr>
            </w:pPr>
            <w:r w:rsidRPr="007F24D7">
              <w:rPr>
                <w:rFonts w:cs="Calibri"/>
                <w:sz w:val="18"/>
                <w:szCs w:val="18"/>
              </w:rPr>
              <w:t>Unpredictable development of Covid 19 pandemics</w:t>
            </w:r>
          </w:p>
        </w:tc>
        <w:tc>
          <w:tcPr>
            <w:tcW w:w="2064" w:type="dxa"/>
          </w:tcPr>
          <w:p w14:paraId="7B8E1CBD" w14:textId="4B88B39D" w:rsidR="00DA0DA2" w:rsidRPr="004870C7" w:rsidRDefault="00DA0DA2" w:rsidP="00136E3B">
            <w:pPr>
              <w:spacing w:after="0"/>
              <w:jc w:val="left"/>
              <w:rPr>
                <w:rFonts w:cs="Calibri"/>
                <w:sz w:val="18"/>
                <w:szCs w:val="18"/>
              </w:rPr>
            </w:pPr>
            <w:r w:rsidRPr="004870C7">
              <w:rPr>
                <w:rFonts w:cs="Calibri"/>
                <w:sz w:val="18"/>
                <w:szCs w:val="18"/>
              </w:rPr>
              <w:t>Operational</w:t>
            </w:r>
          </w:p>
        </w:tc>
        <w:tc>
          <w:tcPr>
            <w:tcW w:w="2610" w:type="dxa"/>
          </w:tcPr>
          <w:p w14:paraId="23A55F1F" w14:textId="77777777" w:rsidR="00DA0DA2" w:rsidRPr="004870C7" w:rsidRDefault="00DA0DA2" w:rsidP="00DA0DA2">
            <w:pPr>
              <w:spacing w:after="0"/>
              <w:rPr>
                <w:rFonts w:cs="Calibri"/>
                <w:sz w:val="18"/>
                <w:szCs w:val="18"/>
              </w:rPr>
            </w:pPr>
            <w:r w:rsidRPr="004870C7">
              <w:rPr>
                <w:rFonts w:cs="Calibri"/>
                <w:sz w:val="18"/>
                <w:szCs w:val="18"/>
              </w:rPr>
              <w:t xml:space="preserve">In case this risk occurs, the project implementation will be slowed down. </w:t>
            </w:r>
          </w:p>
          <w:p w14:paraId="2039F89B" w14:textId="77777777" w:rsidR="00DA0DA2" w:rsidRPr="004870C7" w:rsidRDefault="00DA0DA2" w:rsidP="00DA0DA2">
            <w:pPr>
              <w:spacing w:after="0"/>
              <w:rPr>
                <w:rFonts w:cs="Calibri"/>
                <w:sz w:val="18"/>
                <w:szCs w:val="18"/>
              </w:rPr>
            </w:pPr>
            <w:r w:rsidRPr="004870C7">
              <w:rPr>
                <w:rFonts w:cs="Calibri"/>
                <w:sz w:val="18"/>
                <w:szCs w:val="18"/>
              </w:rPr>
              <w:t>L = 3</w:t>
            </w:r>
          </w:p>
          <w:p w14:paraId="15F173ED" w14:textId="6B0312D2" w:rsidR="00DA0DA2" w:rsidRPr="004870C7" w:rsidRDefault="00DA0DA2" w:rsidP="00DA0DA2">
            <w:pPr>
              <w:spacing w:after="0"/>
              <w:rPr>
                <w:rFonts w:cs="Calibri"/>
                <w:sz w:val="18"/>
                <w:szCs w:val="18"/>
              </w:rPr>
            </w:pPr>
            <w:r w:rsidRPr="004870C7">
              <w:rPr>
                <w:rFonts w:cs="Calibri"/>
                <w:sz w:val="18"/>
                <w:szCs w:val="18"/>
              </w:rPr>
              <w:t>I = 3</w:t>
            </w:r>
          </w:p>
        </w:tc>
        <w:tc>
          <w:tcPr>
            <w:tcW w:w="3212" w:type="dxa"/>
          </w:tcPr>
          <w:p w14:paraId="6AF908E9" w14:textId="72EE8DE7" w:rsidR="00DA0DA2" w:rsidRPr="004870C7" w:rsidRDefault="00881C30" w:rsidP="00FD462B">
            <w:pPr>
              <w:spacing w:after="0"/>
              <w:rPr>
                <w:rFonts w:cs="Calibri"/>
                <w:sz w:val="18"/>
                <w:szCs w:val="18"/>
              </w:rPr>
            </w:pPr>
            <w:r w:rsidRPr="00881C30">
              <w:rPr>
                <w:rFonts w:cs="Calibri"/>
                <w:sz w:val="18"/>
                <w:szCs w:val="18"/>
              </w:rPr>
              <w:t xml:space="preserve">To mitigate COVID-19 related risks, the project will prioritize the recruitment of national experts and local companies and apply on-line methods and tools to </w:t>
            </w:r>
            <w:r w:rsidRPr="00881C30">
              <w:rPr>
                <w:rFonts w:cs="Calibri"/>
                <w:sz w:val="18"/>
                <w:szCs w:val="18"/>
              </w:rPr>
              <w:lastRenderedPageBreak/>
              <w:t>support information sharing, project management and virtual consultations.</w:t>
            </w:r>
          </w:p>
        </w:tc>
        <w:tc>
          <w:tcPr>
            <w:tcW w:w="0" w:type="auto"/>
          </w:tcPr>
          <w:p w14:paraId="6ED7CD3A" w14:textId="0593DF92" w:rsidR="00DA0DA2" w:rsidRPr="004870C7" w:rsidRDefault="00DA0DA2" w:rsidP="00FD462B">
            <w:pPr>
              <w:spacing w:after="0"/>
              <w:rPr>
                <w:rFonts w:cs="Calibri"/>
                <w:sz w:val="18"/>
                <w:szCs w:val="18"/>
              </w:rPr>
            </w:pPr>
            <w:r w:rsidRPr="004870C7">
              <w:rPr>
                <w:rFonts w:cs="Calibri"/>
                <w:sz w:val="18"/>
                <w:szCs w:val="18"/>
              </w:rPr>
              <w:lastRenderedPageBreak/>
              <w:t>Project Manager</w:t>
            </w:r>
          </w:p>
        </w:tc>
      </w:tr>
    </w:tbl>
    <w:p w14:paraId="2E040F3E" w14:textId="77777777" w:rsidR="0079717A" w:rsidRPr="004870C7" w:rsidRDefault="0079717A" w:rsidP="0090528D">
      <w:pPr>
        <w:pStyle w:val="Heading2"/>
        <w:ind w:left="0"/>
        <w:rPr>
          <w:rFonts w:ascii="Calibri" w:hAnsi="Calibri"/>
          <w:szCs w:val="22"/>
        </w:rPr>
        <w:sectPr w:rsidR="0079717A" w:rsidRPr="004870C7" w:rsidSect="00147EA8">
          <w:pgSz w:w="15840" w:h="12240" w:orient="landscape" w:code="1"/>
          <w:pgMar w:top="1440" w:right="1440" w:bottom="1440" w:left="1440" w:header="720" w:footer="720" w:gutter="0"/>
          <w:cols w:space="720"/>
          <w:docGrid w:linePitch="360"/>
        </w:sectPr>
      </w:pPr>
    </w:p>
    <w:p w14:paraId="5B774E94" w14:textId="1063E273" w:rsidR="00265C5F" w:rsidRPr="004870C7" w:rsidRDefault="00265C5F" w:rsidP="00BB0459">
      <w:pPr>
        <w:pStyle w:val="Heading2"/>
        <w:ind w:left="0"/>
        <w:rPr>
          <w:rFonts w:ascii="Calibri" w:hAnsi="Calibri"/>
          <w:szCs w:val="22"/>
        </w:rPr>
      </w:pPr>
      <w:bookmarkStart w:id="32" w:name="_Toc75965562"/>
      <w:r w:rsidRPr="004870C7">
        <w:rPr>
          <w:rFonts w:ascii="Calibri" w:hAnsi="Calibri"/>
          <w:szCs w:val="22"/>
        </w:rPr>
        <w:lastRenderedPageBreak/>
        <w:t>Annex 6: UNDP Social and Environmental Screening Procedure (SESP)</w:t>
      </w:r>
      <w:bookmarkEnd w:id="32"/>
    </w:p>
    <w:p w14:paraId="6D43614C" w14:textId="77777777" w:rsidR="00265C5F" w:rsidRPr="004870C7" w:rsidRDefault="00265C5F" w:rsidP="00BB0459">
      <w:pPr>
        <w:pStyle w:val="Heading2"/>
        <w:ind w:left="0"/>
        <w:rPr>
          <w:rFonts w:ascii="Calibri" w:hAnsi="Calibri"/>
          <w:szCs w:val="22"/>
        </w:rPr>
      </w:pPr>
    </w:p>
    <w:p w14:paraId="70B76FC4" w14:textId="02490913" w:rsidR="008C558D" w:rsidRPr="008C558D" w:rsidRDefault="008C558D" w:rsidP="008C558D">
      <w:pPr>
        <w:spacing w:after="0"/>
        <w:rPr>
          <w:rFonts w:eastAsia="MS Mincho"/>
          <w:color w:val="000000" w:themeColor="text1"/>
          <w:szCs w:val="20"/>
          <w:lang w:eastAsia="ja-JP"/>
        </w:rPr>
      </w:pPr>
      <w:r w:rsidRPr="008C558D">
        <w:rPr>
          <w:rFonts w:eastAsia="MS Mincho"/>
          <w:color w:val="000000" w:themeColor="text1"/>
          <w:szCs w:val="20"/>
          <w:lang w:eastAsia="ja-JP"/>
        </w:rPr>
        <w:t>UNDP confirms that according to its policies NC and BUR</w:t>
      </w:r>
      <w:r w:rsidR="00BA3100">
        <w:rPr>
          <w:rFonts w:eastAsia="MS Mincho"/>
          <w:color w:val="000000" w:themeColor="text1"/>
          <w:szCs w:val="20"/>
          <w:lang w:eastAsia="ja-JP"/>
        </w:rPr>
        <w:t>/BTR</w:t>
      </w:r>
      <w:r w:rsidRPr="008C558D">
        <w:rPr>
          <w:rFonts w:eastAsia="MS Mincho"/>
          <w:color w:val="000000" w:themeColor="text1"/>
          <w:szCs w:val="20"/>
          <w:lang w:eastAsia="ja-JP"/>
        </w:rPr>
        <w:t xml:space="preserve"> Enabling Activity projects are exempt from ESS assessment.</w:t>
      </w:r>
    </w:p>
    <w:p w14:paraId="4847B82D" w14:textId="77777777" w:rsidR="008C558D" w:rsidRPr="008C558D" w:rsidRDefault="008C558D" w:rsidP="008C558D">
      <w:pPr>
        <w:spacing w:after="0"/>
        <w:rPr>
          <w:rFonts w:eastAsia="MS Mincho"/>
          <w:color w:val="000000" w:themeColor="text1"/>
          <w:szCs w:val="20"/>
          <w:lang w:eastAsia="ja-JP"/>
        </w:rPr>
      </w:pPr>
    </w:p>
    <w:p w14:paraId="02716780" w14:textId="1232F104" w:rsidR="008C558D" w:rsidRPr="008C558D" w:rsidRDefault="008C558D" w:rsidP="008C558D">
      <w:pPr>
        <w:spacing w:after="0"/>
        <w:rPr>
          <w:rFonts w:eastAsia="MS Mincho"/>
          <w:color w:val="000000" w:themeColor="text1"/>
          <w:szCs w:val="20"/>
          <w:lang w:eastAsia="ja-JP"/>
        </w:rPr>
      </w:pPr>
      <w:r w:rsidRPr="008C558D">
        <w:rPr>
          <w:rFonts w:eastAsia="MS Mincho"/>
          <w:color w:val="000000" w:themeColor="text1"/>
          <w:szCs w:val="20"/>
          <w:lang w:eastAsia="ja-JP"/>
        </w:rPr>
        <w:t xml:space="preserve">The project’s objective is to assist the Government of </w:t>
      </w:r>
      <w:r w:rsidR="00BA3100">
        <w:rPr>
          <w:rFonts w:eastAsia="MS Mincho"/>
          <w:color w:val="000000" w:themeColor="text1"/>
          <w:szCs w:val="20"/>
          <w:lang w:eastAsia="ja-JP"/>
        </w:rPr>
        <w:t>Montenegro</w:t>
      </w:r>
      <w:r w:rsidRPr="008C558D">
        <w:rPr>
          <w:rFonts w:eastAsia="MS Mincho"/>
          <w:color w:val="000000" w:themeColor="text1"/>
          <w:szCs w:val="20"/>
          <w:lang w:eastAsia="ja-JP"/>
        </w:rPr>
        <w:t xml:space="preserve"> in the preparation and submission of its Fourth National Communication (4NC) and First Biennial </w:t>
      </w:r>
      <w:r w:rsidR="00BA3100">
        <w:rPr>
          <w:rFonts w:eastAsia="MS Mincho"/>
          <w:color w:val="000000" w:themeColor="text1"/>
          <w:szCs w:val="20"/>
          <w:lang w:eastAsia="ja-JP"/>
        </w:rPr>
        <w:t>Transparency</w:t>
      </w:r>
      <w:r w:rsidRPr="008C558D">
        <w:rPr>
          <w:rFonts w:eastAsia="MS Mincho"/>
          <w:color w:val="000000" w:themeColor="text1"/>
          <w:szCs w:val="20"/>
          <w:lang w:eastAsia="ja-JP"/>
        </w:rPr>
        <w:t xml:space="preserve"> Report (B</w:t>
      </w:r>
      <w:r w:rsidR="00BA3100">
        <w:rPr>
          <w:rFonts w:eastAsia="MS Mincho"/>
          <w:color w:val="000000" w:themeColor="text1"/>
          <w:szCs w:val="20"/>
          <w:lang w:eastAsia="ja-JP"/>
        </w:rPr>
        <w:t>T</w:t>
      </w:r>
      <w:r w:rsidRPr="008C558D">
        <w:rPr>
          <w:rFonts w:eastAsia="MS Mincho"/>
          <w:color w:val="000000" w:themeColor="text1"/>
          <w:szCs w:val="20"/>
          <w:lang w:eastAsia="ja-JP"/>
        </w:rPr>
        <w:t>R1) for the fulfillment of the obligations under the United Nations Framework Convention on Climate Change (UNFCCC) and, secondly, to support capacity development in this regard.</w:t>
      </w:r>
    </w:p>
    <w:p w14:paraId="539C421C" w14:textId="77777777" w:rsidR="008C558D" w:rsidRPr="008C558D" w:rsidRDefault="008C558D" w:rsidP="008C558D">
      <w:pPr>
        <w:spacing w:after="0"/>
        <w:rPr>
          <w:rFonts w:eastAsia="MS Mincho"/>
          <w:color w:val="000000" w:themeColor="text1"/>
          <w:szCs w:val="20"/>
          <w:lang w:eastAsia="ja-JP"/>
        </w:rPr>
      </w:pPr>
    </w:p>
    <w:p w14:paraId="2CA11740" w14:textId="24AD0D07" w:rsidR="008C558D" w:rsidRDefault="008C558D" w:rsidP="008C558D">
      <w:pPr>
        <w:spacing w:after="0"/>
        <w:rPr>
          <w:rFonts w:eastAsia="MS Mincho"/>
          <w:color w:val="000000" w:themeColor="text1"/>
          <w:szCs w:val="20"/>
          <w:lang w:eastAsia="ja-JP"/>
        </w:rPr>
      </w:pPr>
      <w:r w:rsidRPr="008C558D">
        <w:rPr>
          <w:rFonts w:eastAsia="MS Mincho"/>
          <w:color w:val="000000" w:themeColor="text1"/>
          <w:szCs w:val="20"/>
          <w:lang w:eastAsia="ja-JP"/>
        </w:rPr>
        <w:t>Based on the below listed exemption criteria of the ‘SOCIAL AND ENVIRONMENTAL SCREENING PROCEDURE’ guidelines, this project is considered exempted from the SESP screening.</w:t>
      </w:r>
    </w:p>
    <w:p w14:paraId="1DD984DC" w14:textId="77777777" w:rsidR="008C558D" w:rsidRPr="008C558D" w:rsidRDefault="008C558D" w:rsidP="008C558D">
      <w:pPr>
        <w:spacing w:after="0"/>
        <w:rPr>
          <w:rFonts w:eastAsia="MS Mincho"/>
          <w:color w:val="000000" w:themeColor="text1"/>
          <w:szCs w:val="20"/>
          <w:lang w:eastAsia="ja-JP"/>
        </w:rPr>
      </w:pPr>
    </w:p>
    <w:p w14:paraId="3B05AC05" w14:textId="77777777" w:rsidR="008C558D" w:rsidRPr="008C558D" w:rsidRDefault="008C558D" w:rsidP="008C558D">
      <w:pPr>
        <w:spacing w:after="0"/>
        <w:ind w:left="720"/>
        <w:rPr>
          <w:rFonts w:eastAsia="MS Mincho"/>
          <w:color w:val="000000" w:themeColor="text1"/>
          <w:szCs w:val="20"/>
          <w:lang w:eastAsia="ja-JP"/>
        </w:rPr>
      </w:pPr>
      <w:r w:rsidRPr="008C558D">
        <w:rPr>
          <w:rFonts w:eastAsia="MS Mincho"/>
          <w:color w:val="000000" w:themeColor="text1"/>
          <w:szCs w:val="20"/>
          <w:lang w:eastAsia="ja-JP"/>
        </w:rPr>
        <w:t xml:space="preserve">a. Preparation and dissemination of reports, documents and communication materials (preparation, printing and submission of Fourth NC and BUR to the UNFCCC) and </w:t>
      </w:r>
    </w:p>
    <w:p w14:paraId="63A51760" w14:textId="77777777" w:rsidR="008C558D" w:rsidRPr="008C558D" w:rsidRDefault="008C558D" w:rsidP="008C558D">
      <w:pPr>
        <w:spacing w:after="0"/>
        <w:ind w:left="720"/>
        <w:rPr>
          <w:rFonts w:eastAsia="MS Mincho"/>
          <w:color w:val="000000" w:themeColor="text1"/>
          <w:szCs w:val="20"/>
          <w:lang w:eastAsia="ja-JP"/>
        </w:rPr>
      </w:pPr>
      <w:r w:rsidRPr="008C558D">
        <w:rPr>
          <w:rFonts w:eastAsia="MS Mincho"/>
          <w:color w:val="000000" w:themeColor="text1"/>
          <w:szCs w:val="20"/>
          <w:lang w:eastAsia="ja-JP"/>
        </w:rPr>
        <w:t xml:space="preserve">b. Organization of an event, workshop, training (Inception Workshop, Stakeholders consultations, Validation workshops, etc.) </w:t>
      </w:r>
    </w:p>
    <w:p w14:paraId="4F7EBCBA" w14:textId="77777777" w:rsidR="008C558D" w:rsidRPr="008C558D" w:rsidRDefault="008C558D" w:rsidP="008C558D">
      <w:pPr>
        <w:spacing w:after="0"/>
        <w:rPr>
          <w:rFonts w:eastAsia="MS Mincho"/>
          <w:color w:val="000000" w:themeColor="text1"/>
          <w:szCs w:val="20"/>
          <w:lang w:eastAsia="ja-JP"/>
        </w:rPr>
      </w:pPr>
    </w:p>
    <w:p w14:paraId="4744EE57" w14:textId="3EF66115" w:rsidR="008C558D" w:rsidRDefault="008C558D" w:rsidP="008C558D">
      <w:pPr>
        <w:spacing w:after="0"/>
        <w:rPr>
          <w:rFonts w:eastAsia="MS Mincho"/>
          <w:color w:val="000000" w:themeColor="text1"/>
          <w:szCs w:val="20"/>
          <w:lang w:eastAsia="ja-JP"/>
        </w:rPr>
      </w:pPr>
      <w:r w:rsidRPr="008C558D">
        <w:rPr>
          <w:rFonts w:eastAsia="MS Mincho"/>
          <w:color w:val="000000" w:themeColor="text1"/>
          <w:szCs w:val="20"/>
          <w:lang w:eastAsia="ja-JP"/>
        </w:rPr>
        <w:t xml:space="preserve">Even without screening, UNDP’s Social and Environmental Standards remain relevant. The implementation of the project will not imply any stress or damage to the environment, marginalized groups, neither will cause deterioration of the social and/or environmental situation in </w:t>
      </w:r>
      <w:r w:rsidR="00BA3100">
        <w:rPr>
          <w:rFonts w:eastAsia="MS Mincho"/>
          <w:color w:val="000000" w:themeColor="text1"/>
          <w:szCs w:val="20"/>
          <w:lang w:eastAsia="ja-JP"/>
        </w:rPr>
        <w:t>Montenegro</w:t>
      </w:r>
      <w:r w:rsidRPr="008C558D">
        <w:rPr>
          <w:rFonts w:eastAsia="MS Mincho"/>
          <w:color w:val="000000" w:themeColor="text1"/>
          <w:szCs w:val="20"/>
          <w:lang w:eastAsia="ja-JP"/>
        </w:rPr>
        <w:t>. The design of the project activities, trainings and workshops will reflect application of human rights principles, gender equality and women’s empowerment, and environmental sustainability in order to meet UNDP’s Social and Environmental Standards</w:t>
      </w:r>
      <w:r>
        <w:rPr>
          <w:rFonts w:eastAsia="MS Mincho"/>
          <w:color w:val="000000" w:themeColor="text1"/>
          <w:szCs w:val="20"/>
          <w:lang w:eastAsia="ja-JP"/>
        </w:rPr>
        <w:t xml:space="preserve">. </w:t>
      </w:r>
    </w:p>
    <w:p w14:paraId="37AFE935" w14:textId="77777777" w:rsidR="008C558D" w:rsidRDefault="008C558D" w:rsidP="008C558D">
      <w:pPr>
        <w:spacing w:after="0"/>
        <w:rPr>
          <w:rFonts w:eastAsia="MS Mincho"/>
          <w:color w:val="000000" w:themeColor="text1"/>
          <w:szCs w:val="20"/>
          <w:lang w:eastAsia="ja-JP"/>
        </w:rPr>
      </w:pPr>
    </w:p>
    <w:p w14:paraId="4446726A" w14:textId="77777777" w:rsidR="00265C5F" w:rsidRPr="004870C7" w:rsidRDefault="00265C5F" w:rsidP="00BB0459">
      <w:pPr>
        <w:pStyle w:val="Heading2"/>
        <w:ind w:left="0"/>
        <w:rPr>
          <w:rFonts w:ascii="Calibri" w:hAnsi="Calibri"/>
          <w:szCs w:val="22"/>
        </w:rPr>
      </w:pPr>
    </w:p>
    <w:p w14:paraId="63BB1833" w14:textId="77777777" w:rsidR="00265C5F" w:rsidRPr="004870C7" w:rsidRDefault="00265C5F" w:rsidP="00BB0459">
      <w:pPr>
        <w:pStyle w:val="Heading2"/>
        <w:ind w:left="0"/>
        <w:rPr>
          <w:rFonts w:ascii="Calibri" w:hAnsi="Calibri"/>
          <w:szCs w:val="22"/>
        </w:rPr>
      </w:pPr>
    </w:p>
    <w:p w14:paraId="578D2FE4" w14:textId="77777777" w:rsidR="00265C5F" w:rsidRPr="004870C7" w:rsidRDefault="00265C5F" w:rsidP="00BB0459">
      <w:pPr>
        <w:pStyle w:val="Heading2"/>
        <w:ind w:left="0"/>
        <w:rPr>
          <w:rFonts w:ascii="Calibri" w:hAnsi="Calibri"/>
          <w:szCs w:val="22"/>
        </w:rPr>
      </w:pPr>
    </w:p>
    <w:p w14:paraId="017C5FFE" w14:textId="77777777" w:rsidR="00265C5F" w:rsidRPr="004870C7" w:rsidRDefault="00265C5F" w:rsidP="00BB0459">
      <w:pPr>
        <w:pStyle w:val="Heading2"/>
        <w:ind w:left="0"/>
        <w:rPr>
          <w:rFonts w:ascii="Calibri" w:hAnsi="Calibri"/>
          <w:szCs w:val="22"/>
        </w:rPr>
      </w:pPr>
    </w:p>
    <w:p w14:paraId="655E4E03" w14:textId="77777777" w:rsidR="00265C5F" w:rsidRPr="004870C7" w:rsidRDefault="00265C5F" w:rsidP="00BB0459">
      <w:pPr>
        <w:pStyle w:val="Heading2"/>
        <w:ind w:left="0"/>
        <w:rPr>
          <w:rFonts w:ascii="Calibri" w:hAnsi="Calibri"/>
          <w:szCs w:val="22"/>
        </w:rPr>
      </w:pPr>
    </w:p>
    <w:p w14:paraId="55C98E29" w14:textId="77777777" w:rsidR="00265C5F" w:rsidRPr="004870C7" w:rsidRDefault="00265C5F" w:rsidP="00BB0459">
      <w:pPr>
        <w:pStyle w:val="Heading2"/>
        <w:ind w:left="0"/>
        <w:rPr>
          <w:rFonts w:ascii="Calibri" w:hAnsi="Calibri"/>
          <w:szCs w:val="22"/>
        </w:rPr>
      </w:pPr>
    </w:p>
    <w:p w14:paraId="605DA500" w14:textId="77777777" w:rsidR="00265C5F" w:rsidRPr="004870C7" w:rsidRDefault="00265C5F" w:rsidP="00BB0459">
      <w:pPr>
        <w:pStyle w:val="Heading2"/>
        <w:ind w:left="0"/>
        <w:rPr>
          <w:rFonts w:ascii="Calibri" w:hAnsi="Calibri"/>
          <w:szCs w:val="22"/>
        </w:rPr>
      </w:pPr>
    </w:p>
    <w:p w14:paraId="3DF830B1" w14:textId="77777777" w:rsidR="00265C5F" w:rsidRPr="004870C7" w:rsidRDefault="00265C5F" w:rsidP="00BB0459">
      <w:pPr>
        <w:pStyle w:val="Heading2"/>
        <w:ind w:left="0"/>
        <w:rPr>
          <w:rFonts w:ascii="Calibri" w:hAnsi="Calibri"/>
          <w:szCs w:val="22"/>
        </w:rPr>
      </w:pPr>
    </w:p>
    <w:p w14:paraId="04554219" w14:textId="77777777" w:rsidR="00265C5F" w:rsidRPr="004870C7" w:rsidRDefault="00265C5F" w:rsidP="00BB0459">
      <w:pPr>
        <w:pStyle w:val="Heading2"/>
        <w:ind w:left="0"/>
        <w:rPr>
          <w:rFonts w:ascii="Calibri" w:hAnsi="Calibri"/>
          <w:szCs w:val="22"/>
        </w:rPr>
      </w:pPr>
    </w:p>
    <w:p w14:paraId="786A7357" w14:textId="77777777" w:rsidR="00265C5F" w:rsidRPr="004870C7" w:rsidRDefault="00265C5F" w:rsidP="00BB0459">
      <w:pPr>
        <w:pStyle w:val="Heading2"/>
        <w:ind w:left="0"/>
        <w:rPr>
          <w:rFonts w:ascii="Calibri" w:hAnsi="Calibri"/>
          <w:szCs w:val="22"/>
        </w:rPr>
      </w:pPr>
    </w:p>
    <w:p w14:paraId="41191F72" w14:textId="77777777" w:rsidR="00265C5F" w:rsidRPr="004870C7" w:rsidRDefault="00265C5F" w:rsidP="00BB0459">
      <w:pPr>
        <w:pStyle w:val="Heading2"/>
        <w:ind w:left="0"/>
        <w:rPr>
          <w:rFonts w:ascii="Calibri" w:hAnsi="Calibri"/>
          <w:szCs w:val="22"/>
        </w:rPr>
      </w:pPr>
    </w:p>
    <w:p w14:paraId="31826D49" w14:textId="77777777" w:rsidR="00265C5F" w:rsidRPr="004870C7" w:rsidRDefault="00265C5F" w:rsidP="00BB0459">
      <w:pPr>
        <w:pStyle w:val="Heading2"/>
        <w:ind w:left="0"/>
        <w:rPr>
          <w:rFonts w:ascii="Calibri" w:hAnsi="Calibri"/>
          <w:szCs w:val="22"/>
        </w:rPr>
      </w:pPr>
    </w:p>
    <w:p w14:paraId="752EAE06" w14:textId="77777777" w:rsidR="00265C5F" w:rsidRPr="004870C7" w:rsidRDefault="00265C5F" w:rsidP="00BB0459">
      <w:pPr>
        <w:pStyle w:val="Heading2"/>
        <w:ind w:left="0"/>
        <w:rPr>
          <w:rFonts w:ascii="Calibri" w:hAnsi="Calibri"/>
          <w:szCs w:val="22"/>
        </w:rPr>
      </w:pPr>
    </w:p>
    <w:p w14:paraId="514FBBCC" w14:textId="169498E3" w:rsidR="00265C5F" w:rsidRPr="004870C7" w:rsidRDefault="00265C5F" w:rsidP="00BB0459">
      <w:pPr>
        <w:pStyle w:val="Heading2"/>
        <w:ind w:left="0"/>
        <w:rPr>
          <w:rFonts w:ascii="Calibri" w:hAnsi="Calibri"/>
          <w:szCs w:val="22"/>
        </w:rPr>
      </w:pPr>
    </w:p>
    <w:p w14:paraId="5DB9E958" w14:textId="4039CD9B" w:rsidR="002B707A" w:rsidRPr="004870C7" w:rsidRDefault="002B707A" w:rsidP="002B707A"/>
    <w:p w14:paraId="6FE2F9B8" w14:textId="77777777" w:rsidR="0079717A" w:rsidRPr="004870C7" w:rsidRDefault="0079717A" w:rsidP="002B707A">
      <w:pPr>
        <w:sectPr w:rsidR="0079717A" w:rsidRPr="004870C7" w:rsidSect="0079717A">
          <w:pgSz w:w="12240" w:h="15840" w:code="1"/>
          <w:pgMar w:top="1440" w:right="1440" w:bottom="1440" w:left="1440" w:header="720" w:footer="720" w:gutter="0"/>
          <w:cols w:space="720"/>
          <w:docGrid w:linePitch="360"/>
        </w:sectPr>
      </w:pPr>
    </w:p>
    <w:p w14:paraId="41AB7B94" w14:textId="50C55056" w:rsidR="00556F17" w:rsidRPr="004870C7" w:rsidRDefault="00556F17" w:rsidP="00BB0459">
      <w:pPr>
        <w:pStyle w:val="Heading2"/>
        <w:ind w:left="0"/>
        <w:rPr>
          <w:rFonts w:ascii="Calibri" w:hAnsi="Calibri"/>
          <w:szCs w:val="22"/>
        </w:rPr>
      </w:pPr>
      <w:bookmarkStart w:id="33" w:name="_Toc75965563"/>
      <w:r w:rsidRPr="004870C7">
        <w:rPr>
          <w:rFonts w:ascii="Calibri" w:hAnsi="Calibri"/>
          <w:szCs w:val="22"/>
        </w:rPr>
        <w:lastRenderedPageBreak/>
        <w:t>Annex</w:t>
      </w:r>
      <w:r w:rsidR="00A8080C" w:rsidRPr="004870C7">
        <w:rPr>
          <w:rFonts w:ascii="Calibri" w:hAnsi="Calibri"/>
          <w:szCs w:val="22"/>
        </w:rPr>
        <w:t xml:space="preserve"> </w:t>
      </w:r>
      <w:r w:rsidR="00265C5F" w:rsidRPr="004870C7">
        <w:rPr>
          <w:rFonts w:ascii="Calibri" w:hAnsi="Calibri"/>
          <w:szCs w:val="22"/>
        </w:rPr>
        <w:t>7</w:t>
      </w:r>
      <w:r w:rsidRPr="004870C7">
        <w:rPr>
          <w:rFonts w:ascii="Calibri" w:hAnsi="Calibri"/>
          <w:szCs w:val="22"/>
        </w:rPr>
        <w:t xml:space="preserve">:  </w:t>
      </w:r>
      <w:r w:rsidR="00DF2D3A" w:rsidRPr="004870C7">
        <w:rPr>
          <w:rFonts w:ascii="Calibri" w:hAnsi="Calibri"/>
          <w:szCs w:val="22"/>
        </w:rPr>
        <w:t>Overview of</w:t>
      </w:r>
      <w:r w:rsidR="0046717C" w:rsidRPr="004870C7">
        <w:rPr>
          <w:rFonts w:ascii="Calibri" w:hAnsi="Calibri"/>
          <w:szCs w:val="22"/>
        </w:rPr>
        <w:t xml:space="preserve"> Project Staff and</w:t>
      </w:r>
      <w:r w:rsidR="00DF2D3A" w:rsidRPr="004870C7">
        <w:rPr>
          <w:rFonts w:ascii="Calibri" w:hAnsi="Calibri"/>
          <w:szCs w:val="22"/>
        </w:rPr>
        <w:t xml:space="preserve"> Technical Consultancies</w:t>
      </w:r>
      <w:bookmarkEnd w:id="33"/>
    </w:p>
    <w:p w14:paraId="5FEEDC11" w14:textId="77777777" w:rsidR="00A3339A" w:rsidRPr="004870C7" w:rsidRDefault="00A3339A" w:rsidP="00A3339A"/>
    <w:tbl>
      <w:tblPr>
        <w:tblW w:w="1402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1374"/>
        <w:gridCol w:w="10619"/>
      </w:tblGrid>
      <w:tr w:rsidR="00D42863" w:rsidRPr="004870C7" w14:paraId="1256A2C5" w14:textId="77777777" w:rsidTr="00A11744">
        <w:trPr>
          <w:tblHeader/>
        </w:trPr>
        <w:tc>
          <w:tcPr>
            <w:tcW w:w="2029" w:type="dxa"/>
            <w:tcBorders>
              <w:top w:val="single" w:sz="4" w:space="0" w:color="auto"/>
              <w:left w:val="single" w:sz="4" w:space="0" w:color="auto"/>
              <w:bottom w:val="single" w:sz="4" w:space="0" w:color="auto"/>
              <w:right w:val="single" w:sz="4" w:space="0" w:color="auto"/>
            </w:tcBorders>
            <w:shd w:val="clear" w:color="auto" w:fill="FDE9D9"/>
            <w:hideMark/>
          </w:tcPr>
          <w:p w14:paraId="5092E998" w14:textId="2D3E803D" w:rsidR="00D42863" w:rsidRPr="004870C7" w:rsidRDefault="00556F17" w:rsidP="00421FD8">
            <w:pPr>
              <w:rPr>
                <w:b/>
                <w:szCs w:val="20"/>
                <w:lang w:eastAsia="ja-JP"/>
              </w:rPr>
            </w:pPr>
            <w:r w:rsidRPr="004870C7">
              <w:rPr>
                <w:b/>
                <w:szCs w:val="22"/>
              </w:rPr>
              <w:br/>
            </w:r>
            <w:r w:rsidR="00D42863" w:rsidRPr="004870C7">
              <w:rPr>
                <w:b/>
                <w:szCs w:val="20"/>
                <w:lang w:eastAsia="ja-JP"/>
              </w:rPr>
              <w:t>Consultant</w:t>
            </w:r>
          </w:p>
        </w:tc>
        <w:tc>
          <w:tcPr>
            <w:tcW w:w="1374" w:type="dxa"/>
            <w:tcBorders>
              <w:top w:val="single" w:sz="4" w:space="0" w:color="auto"/>
              <w:left w:val="single" w:sz="4" w:space="0" w:color="auto"/>
              <w:bottom w:val="single" w:sz="4" w:space="0" w:color="auto"/>
              <w:right w:val="single" w:sz="4" w:space="0" w:color="auto"/>
            </w:tcBorders>
            <w:shd w:val="clear" w:color="auto" w:fill="FDE9D9"/>
            <w:hideMark/>
          </w:tcPr>
          <w:p w14:paraId="2F18545F" w14:textId="77777777" w:rsidR="00D42863" w:rsidRPr="004870C7" w:rsidRDefault="00D42863" w:rsidP="00421FD8">
            <w:pPr>
              <w:rPr>
                <w:b/>
                <w:szCs w:val="20"/>
                <w:lang w:eastAsia="ja-JP"/>
              </w:rPr>
            </w:pPr>
            <w:r w:rsidRPr="004870C7">
              <w:rPr>
                <w:b/>
                <w:szCs w:val="20"/>
                <w:lang w:eastAsia="ja-JP"/>
              </w:rPr>
              <w:t>Time Input</w:t>
            </w:r>
          </w:p>
        </w:tc>
        <w:tc>
          <w:tcPr>
            <w:tcW w:w="10619" w:type="dxa"/>
            <w:tcBorders>
              <w:top w:val="single" w:sz="4" w:space="0" w:color="auto"/>
              <w:left w:val="single" w:sz="4" w:space="0" w:color="auto"/>
              <w:bottom w:val="single" w:sz="4" w:space="0" w:color="auto"/>
              <w:right w:val="single" w:sz="4" w:space="0" w:color="auto"/>
            </w:tcBorders>
            <w:shd w:val="clear" w:color="auto" w:fill="FDE9D9"/>
            <w:hideMark/>
          </w:tcPr>
          <w:p w14:paraId="5369866B" w14:textId="77777777" w:rsidR="00D42863" w:rsidRPr="004870C7" w:rsidRDefault="00D42863" w:rsidP="00421FD8">
            <w:pPr>
              <w:rPr>
                <w:b/>
                <w:szCs w:val="20"/>
                <w:lang w:eastAsia="ja-JP"/>
              </w:rPr>
            </w:pPr>
            <w:r w:rsidRPr="004870C7">
              <w:rPr>
                <w:b/>
                <w:szCs w:val="20"/>
                <w:lang w:eastAsia="ja-JP"/>
              </w:rPr>
              <w:t>Tasks, Inputs and Outputs</w:t>
            </w:r>
          </w:p>
        </w:tc>
      </w:tr>
      <w:tr w:rsidR="00D42863" w:rsidRPr="004870C7" w14:paraId="7AB6396B"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20AF28A0" w14:textId="27162E19" w:rsidR="00D42863" w:rsidRPr="004870C7" w:rsidRDefault="00D42863" w:rsidP="00421FD8">
            <w:pPr>
              <w:jc w:val="center"/>
              <w:rPr>
                <w:i/>
                <w:szCs w:val="20"/>
                <w:lang w:eastAsia="ja-JP"/>
              </w:rPr>
            </w:pPr>
            <w:r w:rsidRPr="004870C7">
              <w:rPr>
                <w:b/>
                <w:i/>
                <w:szCs w:val="20"/>
                <w:lang w:eastAsia="ja-JP"/>
              </w:rPr>
              <w:t>For Project Management</w:t>
            </w:r>
          </w:p>
        </w:tc>
      </w:tr>
      <w:tr w:rsidR="00D42863" w:rsidRPr="004870C7" w14:paraId="2C646D4A"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3BC5C006" w14:textId="77777777" w:rsidR="00D42863" w:rsidRPr="004870C7" w:rsidRDefault="00D42863" w:rsidP="00421FD8">
            <w:pPr>
              <w:rPr>
                <w:b/>
                <w:i/>
                <w:szCs w:val="20"/>
                <w:lang w:eastAsia="ja-JP"/>
              </w:rPr>
            </w:pPr>
            <w:r w:rsidRPr="004870C7">
              <w:rPr>
                <w:b/>
                <w:i/>
                <w:szCs w:val="20"/>
                <w:lang w:eastAsia="ja-JP"/>
              </w:rPr>
              <w:t>Local / National contracting</w:t>
            </w:r>
          </w:p>
        </w:tc>
      </w:tr>
      <w:tr w:rsidR="00D42863" w:rsidRPr="004870C7" w14:paraId="75FCF21E" w14:textId="77777777" w:rsidTr="00A11744">
        <w:tc>
          <w:tcPr>
            <w:tcW w:w="2029" w:type="dxa"/>
            <w:tcBorders>
              <w:top w:val="single" w:sz="4" w:space="0" w:color="auto"/>
              <w:left w:val="single" w:sz="4" w:space="0" w:color="auto"/>
              <w:bottom w:val="single" w:sz="4" w:space="0" w:color="auto"/>
              <w:right w:val="single" w:sz="4" w:space="0" w:color="auto"/>
            </w:tcBorders>
          </w:tcPr>
          <w:p w14:paraId="23C171D2" w14:textId="65698A05" w:rsidR="00D42863" w:rsidRPr="004870C7" w:rsidRDefault="00D42863" w:rsidP="00421FD8">
            <w:pPr>
              <w:rPr>
                <w:i/>
                <w:szCs w:val="20"/>
                <w:lang w:eastAsia="ja-JP"/>
              </w:rPr>
            </w:pPr>
            <w:r w:rsidRPr="004870C7">
              <w:rPr>
                <w:i/>
                <w:szCs w:val="20"/>
                <w:lang w:eastAsia="ja-JP"/>
              </w:rPr>
              <w:t>Project Manager</w:t>
            </w:r>
            <w:r w:rsidR="00ED405E" w:rsidRPr="004870C7">
              <w:rPr>
                <w:i/>
                <w:szCs w:val="20"/>
                <w:lang w:eastAsia="ja-JP"/>
              </w:rPr>
              <w:t>/Coordinator</w:t>
            </w:r>
          </w:p>
          <w:p w14:paraId="1CE0D492" w14:textId="4EB77119" w:rsidR="00932753" w:rsidRPr="004870C7" w:rsidRDefault="00932753" w:rsidP="00421FD8">
            <w:pPr>
              <w:rPr>
                <w:i/>
                <w:szCs w:val="20"/>
                <w:lang w:eastAsia="ja-JP"/>
              </w:rPr>
            </w:pPr>
            <w:r w:rsidRPr="004870C7">
              <w:rPr>
                <w:i/>
                <w:szCs w:val="20"/>
                <w:lang w:eastAsia="ja-JP"/>
              </w:rPr>
              <w:t>Rate:</w:t>
            </w:r>
            <w:r w:rsidR="00DA0DA2" w:rsidRPr="004870C7">
              <w:rPr>
                <w:i/>
                <w:szCs w:val="20"/>
                <w:lang w:eastAsia="ja-JP"/>
              </w:rPr>
              <w:t xml:space="preserve"> </w:t>
            </w:r>
            <w:r w:rsidR="00A11744" w:rsidRPr="004870C7">
              <w:rPr>
                <w:i/>
                <w:szCs w:val="20"/>
                <w:lang w:eastAsia="ja-JP"/>
              </w:rPr>
              <w:t xml:space="preserve">App. 700 USD/month for a period of 43 months </w:t>
            </w:r>
          </w:p>
          <w:p w14:paraId="6F138551" w14:textId="048395C8" w:rsidR="002B707A" w:rsidRPr="004870C7" w:rsidRDefault="002B707A" w:rsidP="00421FD8">
            <w:pPr>
              <w:rPr>
                <w:i/>
                <w:szCs w:val="20"/>
                <w:lang w:eastAsia="ja-JP"/>
              </w:rPr>
            </w:pPr>
          </w:p>
          <w:p w14:paraId="4F385922" w14:textId="77777777" w:rsidR="00D42863" w:rsidRPr="004870C7" w:rsidRDefault="00D42863" w:rsidP="00421FD8">
            <w:pPr>
              <w:rPr>
                <w:i/>
                <w:szCs w:val="20"/>
                <w:lang w:eastAsia="ja-JP"/>
              </w:rPr>
            </w:pPr>
          </w:p>
          <w:p w14:paraId="3FC05102" w14:textId="30EA9FDC" w:rsidR="00D42863" w:rsidRPr="004870C7" w:rsidRDefault="00D42863" w:rsidP="00421FD8">
            <w:pPr>
              <w:rPr>
                <w:i/>
                <w:szCs w:val="20"/>
                <w:lang w:eastAsia="ja-JP"/>
              </w:rPr>
            </w:pPr>
          </w:p>
        </w:tc>
        <w:tc>
          <w:tcPr>
            <w:tcW w:w="1374" w:type="dxa"/>
            <w:tcBorders>
              <w:top w:val="single" w:sz="4" w:space="0" w:color="auto"/>
              <w:left w:val="single" w:sz="4" w:space="0" w:color="auto"/>
              <w:bottom w:val="single" w:sz="4" w:space="0" w:color="auto"/>
              <w:right w:val="single" w:sz="4" w:space="0" w:color="auto"/>
            </w:tcBorders>
            <w:hideMark/>
          </w:tcPr>
          <w:p w14:paraId="4FF08388" w14:textId="653258E1" w:rsidR="00D42863" w:rsidRPr="004870C7" w:rsidRDefault="00D42863" w:rsidP="00421FD8">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hideMark/>
          </w:tcPr>
          <w:p w14:paraId="1CBA4F67" w14:textId="70C42344" w:rsidR="00D42863" w:rsidRPr="004870C7" w:rsidRDefault="00D42863" w:rsidP="00421FD8">
            <w:pPr>
              <w:rPr>
                <w:i/>
                <w:szCs w:val="20"/>
                <w:lang w:eastAsia="ja-JP"/>
              </w:rPr>
            </w:pPr>
            <w:r w:rsidRPr="004870C7">
              <w:rPr>
                <w:i/>
                <w:szCs w:val="20"/>
                <w:lang w:eastAsia="ja-JP"/>
              </w:rPr>
              <w:t>The Project Manager (PM)</w:t>
            </w:r>
            <w:r w:rsidR="009F78B5" w:rsidRPr="004870C7">
              <w:rPr>
                <w:i/>
                <w:szCs w:val="20"/>
                <w:lang w:eastAsia="ja-JP"/>
              </w:rPr>
              <w:t xml:space="preserve"> </w:t>
            </w:r>
            <w:r w:rsidRPr="004870C7">
              <w:rPr>
                <w:i/>
                <w:szCs w:val="20"/>
                <w:lang w:eastAsia="ja-JP"/>
              </w:rPr>
              <w:t xml:space="preserve">will be responsible for the overall management of the project, including the mobilization of all project inputs, supervision over project staff, consultants and sub-contractors. </w:t>
            </w:r>
          </w:p>
          <w:p w14:paraId="65A6C8D5" w14:textId="77777777" w:rsidR="008414CE" w:rsidRPr="004870C7" w:rsidRDefault="008414CE" w:rsidP="008414CE">
            <w:pPr>
              <w:spacing w:after="0"/>
              <w:rPr>
                <w:rFonts w:cs="Arial"/>
                <w:i/>
                <w:szCs w:val="20"/>
                <w:u w:val="single"/>
                <w:lang w:eastAsia="zh-CN"/>
              </w:rPr>
            </w:pPr>
            <w:r w:rsidRPr="004870C7">
              <w:rPr>
                <w:rFonts w:cs="Arial"/>
                <w:i/>
                <w:szCs w:val="20"/>
                <w:u w:val="single"/>
                <w:lang w:eastAsia="zh-CN"/>
              </w:rPr>
              <w:t>Duties and Responsibilities</w:t>
            </w:r>
          </w:p>
          <w:p w14:paraId="4A738352"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Manage the overall conduct of the project.</w:t>
            </w:r>
          </w:p>
          <w:p w14:paraId="4C81C8DD"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Plan the activities of the project and monitor progress against the approved workplan.</w:t>
            </w:r>
          </w:p>
          <w:p w14:paraId="2A03AB97" w14:textId="2FC19A05"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Execute activities by managing personnel, goods and services, training and, including drafting terms of reference and work specifications, and overseeing all contractors’ work.</w:t>
            </w:r>
          </w:p>
          <w:p w14:paraId="69DA8982"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Monitor events as determined in the project monitoring plan, and update the plan as required.</w:t>
            </w:r>
          </w:p>
          <w:p w14:paraId="7FDA2F44"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Provide support for completion of assessments required by UNDP, spot checks and audits.</w:t>
            </w:r>
          </w:p>
          <w:p w14:paraId="70544B3F"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Manage requests for the provision of UNDP financial resources through funding advances, direct payments or reimbursement using the FACE form.</w:t>
            </w:r>
          </w:p>
          <w:p w14:paraId="6CD7A05A"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Monitor financial resources and accounting to ensure the accuracy and reliability of financial reports.</w:t>
            </w:r>
          </w:p>
          <w:p w14:paraId="272F8F43"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Monitor progress, watch for plan deviations and make course corrections when needed within project board-agreed tolerances to achieve results.</w:t>
            </w:r>
          </w:p>
          <w:p w14:paraId="6697CCD6"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Ensure that changes are controlled and problems addressed.</w:t>
            </w:r>
          </w:p>
          <w:p w14:paraId="689A233A"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Perform regular progress reporting to the project board as agreed with the board, including measures to address challenges and opportunities.</w:t>
            </w:r>
          </w:p>
          <w:p w14:paraId="7C466113"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Prepare and submit financial reports to UNDP on a quarterly basis.</w:t>
            </w:r>
          </w:p>
          <w:p w14:paraId="33072385" w14:textId="77777777" w:rsidR="008414CE" w:rsidRPr="004870C7" w:rsidRDefault="008414CE" w:rsidP="00FA41FE">
            <w:pPr>
              <w:pStyle w:val="ListParagraph"/>
              <w:numPr>
                <w:ilvl w:val="0"/>
                <w:numId w:val="20"/>
              </w:numPr>
              <w:ind w:left="360"/>
              <w:jc w:val="both"/>
              <w:rPr>
                <w:rFonts w:ascii="Calibri" w:hAnsi="Calibri"/>
                <w:i/>
                <w:sz w:val="20"/>
                <w:szCs w:val="20"/>
              </w:rPr>
            </w:pPr>
            <w:r w:rsidRPr="004870C7">
              <w:rPr>
                <w:rFonts w:ascii="Calibri" w:hAnsi="Calibri"/>
                <w:i/>
                <w:sz w:val="20"/>
                <w:szCs w:val="20"/>
              </w:rPr>
              <w:t>Manage and monitor the project risks – including social and environmental risks - initially identified and submit new risks to the Project Board for consideration and decision on possible actions if required; update the status of these risks by maintaining the project risks log;</w:t>
            </w:r>
          </w:p>
          <w:p w14:paraId="33EA647B"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Capture lessons learned during project implementation.</w:t>
            </w:r>
          </w:p>
          <w:p w14:paraId="421DA13E" w14:textId="77777777" w:rsidR="008414CE" w:rsidRPr="004870C7" w:rsidRDefault="008414CE" w:rsidP="00FA41FE">
            <w:pPr>
              <w:pStyle w:val="ListParagraph"/>
              <w:numPr>
                <w:ilvl w:val="0"/>
                <w:numId w:val="20"/>
              </w:numPr>
              <w:ind w:left="360"/>
              <w:rPr>
                <w:rFonts w:asciiTheme="minorHAnsi" w:eastAsia="Times New Roman" w:hAnsiTheme="minorHAnsi" w:cstheme="minorHAnsi"/>
                <w:i/>
                <w:color w:val="000000"/>
                <w:sz w:val="20"/>
                <w:szCs w:val="20"/>
              </w:rPr>
            </w:pPr>
            <w:r w:rsidRPr="004870C7">
              <w:rPr>
                <w:rFonts w:asciiTheme="minorHAnsi" w:eastAsia="Times New Roman" w:hAnsiTheme="minorHAnsi" w:cstheme="minorHAnsi"/>
                <w:i/>
                <w:color w:val="000000"/>
                <w:sz w:val="20"/>
                <w:szCs w:val="20"/>
              </w:rPr>
              <w:t>Prepare revisions to the multi-year workplan, as needed, as well as annual and quarterly plans if required.</w:t>
            </w:r>
          </w:p>
          <w:p w14:paraId="05BFAA35" w14:textId="77777777" w:rsidR="008414CE" w:rsidRPr="004870C7" w:rsidRDefault="008414CE" w:rsidP="00FA41FE">
            <w:pPr>
              <w:numPr>
                <w:ilvl w:val="0"/>
                <w:numId w:val="15"/>
              </w:numPr>
              <w:spacing w:after="0"/>
              <w:ind w:left="360"/>
              <w:jc w:val="left"/>
              <w:rPr>
                <w:rFonts w:cs="Calibri"/>
                <w:i/>
                <w:szCs w:val="20"/>
              </w:rPr>
            </w:pPr>
            <w:r w:rsidRPr="004870C7">
              <w:rPr>
                <w:rFonts w:cs="Calibri"/>
                <w:i/>
                <w:szCs w:val="20"/>
              </w:rPr>
              <w:t xml:space="preserve">Prepare the inception report no later than one month after the inception workshop. </w:t>
            </w:r>
          </w:p>
          <w:p w14:paraId="24F16F33" w14:textId="313E8237" w:rsidR="008414CE" w:rsidRPr="004870C7" w:rsidRDefault="008414CE" w:rsidP="001E60AC">
            <w:pPr>
              <w:numPr>
                <w:ilvl w:val="0"/>
                <w:numId w:val="14"/>
              </w:numPr>
              <w:tabs>
                <w:tab w:val="clear" w:pos="720"/>
                <w:tab w:val="num" w:pos="360"/>
              </w:tabs>
              <w:spacing w:after="0"/>
              <w:ind w:left="360"/>
              <w:jc w:val="left"/>
              <w:rPr>
                <w:rFonts w:cs="Calibri"/>
                <w:i/>
                <w:szCs w:val="20"/>
              </w:rPr>
            </w:pPr>
            <w:r w:rsidRPr="004870C7">
              <w:rPr>
                <w:rFonts w:cs="Calibri"/>
                <w:i/>
                <w:szCs w:val="20"/>
              </w:rPr>
              <w:t xml:space="preserve">Ensure that the indicators included in the project results framework are monitored annually in advance of </w:t>
            </w:r>
            <w:r w:rsidR="001E60AC" w:rsidRPr="004870C7">
              <w:rPr>
                <w:rFonts w:cs="Calibri"/>
                <w:i/>
                <w:szCs w:val="20"/>
              </w:rPr>
              <w:t xml:space="preserve">the annual project reporting so that progress can be reported to </w:t>
            </w:r>
            <w:r w:rsidRPr="004870C7">
              <w:rPr>
                <w:rFonts w:cs="Calibri"/>
                <w:i/>
                <w:szCs w:val="20"/>
              </w:rPr>
              <w:t>the GEF</w:t>
            </w:r>
          </w:p>
          <w:p w14:paraId="56075B2E" w14:textId="33886E2A" w:rsidR="001E60AC" w:rsidRPr="004870C7" w:rsidRDefault="001E60AC" w:rsidP="00FA41FE">
            <w:pPr>
              <w:pStyle w:val="ListParagraph"/>
              <w:numPr>
                <w:ilvl w:val="0"/>
                <w:numId w:val="14"/>
              </w:numPr>
              <w:tabs>
                <w:tab w:val="clear" w:pos="720"/>
                <w:tab w:val="num" w:pos="360"/>
              </w:tabs>
              <w:ind w:left="360"/>
              <w:jc w:val="both"/>
              <w:rPr>
                <w:rFonts w:ascii="Calibri" w:hAnsi="Calibri"/>
                <w:i/>
                <w:sz w:val="20"/>
                <w:szCs w:val="20"/>
              </w:rPr>
            </w:pPr>
            <w:r w:rsidRPr="004870C7">
              <w:rPr>
                <w:rFonts w:ascii="Calibri" w:hAnsi="Calibri"/>
                <w:i/>
                <w:sz w:val="20"/>
                <w:szCs w:val="20"/>
              </w:rPr>
              <w:t>Prepare the annual reporting (NC/BTR survey)</w:t>
            </w:r>
          </w:p>
          <w:p w14:paraId="09D00259" w14:textId="116E783C" w:rsidR="008414CE" w:rsidRPr="004870C7" w:rsidRDefault="008414CE" w:rsidP="00FA41FE">
            <w:pPr>
              <w:pStyle w:val="ListParagraph"/>
              <w:numPr>
                <w:ilvl w:val="0"/>
                <w:numId w:val="14"/>
              </w:numPr>
              <w:tabs>
                <w:tab w:val="clear" w:pos="720"/>
                <w:tab w:val="num" w:pos="360"/>
              </w:tabs>
              <w:ind w:left="360"/>
              <w:jc w:val="both"/>
              <w:rPr>
                <w:rFonts w:ascii="Calibri" w:hAnsi="Calibri"/>
                <w:i/>
                <w:sz w:val="20"/>
                <w:szCs w:val="20"/>
              </w:rPr>
            </w:pPr>
            <w:r w:rsidRPr="004870C7">
              <w:rPr>
                <w:rFonts w:ascii="Calibri" w:hAnsi="Calibri"/>
                <w:i/>
                <w:sz w:val="20"/>
                <w:szCs w:val="20"/>
              </w:rPr>
              <w:t>Assess major and minor amendments to the project within the parameters set by UNDP-GEF;</w:t>
            </w:r>
          </w:p>
          <w:p w14:paraId="0BF6BC2B" w14:textId="77777777" w:rsidR="008414CE" w:rsidRPr="004870C7" w:rsidRDefault="008414CE" w:rsidP="00FA41FE">
            <w:pPr>
              <w:pStyle w:val="ListParagraph"/>
              <w:numPr>
                <w:ilvl w:val="0"/>
                <w:numId w:val="14"/>
              </w:numPr>
              <w:tabs>
                <w:tab w:val="clear" w:pos="720"/>
                <w:tab w:val="num" w:pos="360"/>
              </w:tabs>
              <w:ind w:left="360"/>
              <w:jc w:val="both"/>
              <w:rPr>
                <w:rFonts w:asciiTheme="minorHAnsi" w:hAnsiTheme="minorHAnsi"/>
                <w:i/>
                <w:sz w:val="20"/>
                <w:szCs w:val="20"/>
              </w:rPr>
            </w:pPr>
            <w:r w:rsidRPr="004870C7">
              <w:rPr>
                <w:rFonts w:asciiTheme="minorHAnsi" w:hAnsiTheme="minorHAnsi"/>
                <w:i/>
                <w:sz w:val="20"/>
                <w:szCs w:val="20"/>
              </w:rPr>
              <w:lastRenderedPageBreak/>
              <w:t>Monitor implementation plans including the gender action plan, stakeholder engagement plan, and any environmental and social management plans;</w:t>
            </w:r>
          </w:p>
          <w:p w14:paraId="139D7B11" w14:textId="60BB1D8E" w:rsidR="008414CE" w:rsidRPr="004870C7" w:rsidRDefault="008414CE" w:rsidP="00FA41FE">
            <w:pPr>
              <w:pStyle w:val="ListParagraph"/>
              <w:numPr>
                <w:ilvl w:val="0"/>
                <w:numId w:val="14"/>
              </w:numPr>
              <w:tabs>
                <w:tab w:val="clear" w:pos="720"/>
                <w:tab w:val="num" w:pos="360"/>
              </w:tabs>
              <w:ind w:left="360"/>
              <w:jc w:val="both"/>
              <w:rPr>
                <w:rFonts w:asciiTheme="minorHAnsi" w:hAnsiTheme="minorHAnsi"/>
                <w:i/>
                <w:sz w:val="20"/>
                <w:szCs w:val="20"/>
              </w:rPr>
            </w:pPr>
            <w:r w:rsidRPr="004870C7">
              <w:rPr>
                <w:rFonts w:asciiTheme="minorHAnsi" w:hAnsiTheme="minorHAnsi"/>
                <w:i/>
                <w:sz w:val="20"/>
                <w:szCs w:val="20"/>
              </w:rPr>
              <w:t>Monitor and track progress against the</w:t>
            </w:r>
            <w:r w:rsidR="001E60AC" w:rsidRPr="004870C7">
              <w:rPr>
                <w:rFonts w:asciiTheme="minorHAnsi" w:hAnsiTheme="minorHAnsi"/>
                <w:i/>
                <w:sz w:val="20"/>
                <w:szCs w:val="20"/>
              </w:rPr>
              <w:t xml:space="preserve"> PRF</w:t>
            </w:r>
            <w:r w:rsidRPr="004870C7">
              <w:rPr>
                <w:rFonts w:asciiTheme="minorHAnsi" w:hAnsiTheme="minorHAnsi"/>
                <w:i/>
                <w:sz w:val="20"/>
                <w:szCs w:val="20"/>
              </w:rPr>
              <w:t xml:space="preserve"> indicators.</w:t>
            </w:r>
          </w:p>
          <w:p w14:paraId="4231AA04" w14:textId="25E8F9BC" w:rsidR="001E60AC" w:rsidRPr="004870C7" w:rsidRDefault="001E60AC" w:rsidP="00FA41FE">
            <w:pPr>
              <w:pStyle w:val="ListParagraph"/>
              <w:numPr>
                <w:ilvl w:val="0"/>
                <w:numId w:val="14"/>
              </w:numPr>
              <w:tabs>
                <w:tab w:val="clear" w:pos="720"/>
                <w:tab w:val="num" w:pos="360"/>
              </w:tabs>
              <w:ind w:left="360"/>
              <w:jc w:val="both"/>
              <w:rPr>
                <w:rFonts w:asciiTheme="minorHAnsi" w:hAnsiTheme="minorHAnsi"/>
                <w:i/>
                <w:sz w:val="20"/>
                <w:szCs w:val="20"/>
              </w:rPr>
            </w:pPr>
            <w:r w:rsidRPr="004870C7">
              <w:rPr>
                <w:rFonts w:asciiTheme="minorHAnsi" w:hAnsiTheme="minorHAnsi"/>
                <w:i/>
                <w:sz w:val="20"/>
                <w:szCs w:val="20"/>
              </w:rPr>
              <w:t>Prepare the End of Project Report</w:t>
            </w:r>
          </w:p>
          <w:p w14:paraId="5D73E997" w14:textId="700CBC79" w:rsidR="00892228" w:rsidRPr="004870C7" w:rsidRDefault="00892228" w:rsidP="00FA41FE">
            <w:pPr>
              <w:pStyle w:val="ListParagraph"/>
              <w:numPr>
                <w:ilvl w:val="0"/>
                <w:numId w:val="14"/>
              </w:numPr>
              <w:tabs>
                <w:tab w:val="clear" w:pos="720"/>
                <w:tab w:val="num" w:pos="360"/>
              </w:tabs>
              <w:ind w:left="360"/>
              <w:jc w:val="both"/>
              <w:rPr>
                <w:rFonts w:asciiTheme="minorHAnsi" w:hAnsiTheme="minorHAnsi"/>
                <w:i/>
                <w:sz w:val="20"/>
                <w:szCs w:val="20"/>
              </w:rPr>
            </w:pPr>
            <w:r w:rsidRPr="004870C7">
              <w:rPr>
                <w:rFonts w:asciiTheme="minorHAnsi" w:hAnsiTheme="minorHAnsi"/>
                <w:i/>
                <w:sz w:val="20"/>
                <w:szCs w:val="20"/>
              </w:rPr>
              <w:t>Add technical tasks as necessary</w:t>
            </w:r>
          </w:p>
          <w:p w14:paraId="58F2CF06" w14:textId="5EC73E9F" w:rsidR="008414CE" w:rsidRPr="004870C7" w:rsidRDefault="008414CE" w:rsidP="00421FD8">
            <w:pPr>
              <w:rPr>
                <w:i/>
                <w:szCs w:val="20"/>
                <w:lang w:eastAsia="ja-JP"/>
              </w:rPr>
            </w:pPr>
          </w:p>
        </w:tc>
      </w:tr>
      <w:tr w:rsidR="00D42863" w:rsidRPr="004870C7" w14:paraId="21C07449" w14:textId="77777777" w:rsidTr="00A11744">
        <w:tc>
          <w:tcPr>
            <w:tcW w:w="2029" w:type="dxa"/>
            <w:tcBorders>
              <w:top w:val="single" w:sz="4" w:space="0" w:color="auto"/>
              <w:left w:val="single" w:sz="4" w:space="0" w:color="auto"/>
              <w:bottom w:val="single" w:sz="4" w:space="0" w:color="auto"/>
              <w:right w:val="single" w:sz="4" w:space="0" w:color="auto"/>
            </w:tcBorders>
          </w:tcPr>
          <w:p w14:paraId="489AF6BF" w14:textId="77777777" w:rsidR="000B3D40" w:rsidRPr="004870C7" w:rsidRDefault="000B3D40" w:rsidP="000B3D40">
            <w:pPr>
              <w:spacing w:after="0"/>
              <w:rPr>
                <w:i/>
                <w:szCs w:val="20"/>
              </w:rPr>
            </w:pPr>
            <w:r w:rsidRPr="004870C7">
              <w:rPr>
                <w:i/>
                <w:szCs w:val="20"/>
              </w:rPr>
              <w:lastRenderedPageBreak/>
              <w:t>Project Assistant</w:t>
            </w:r>
          </w:p>
          <w:p w14:paraId="03E15A0B" w14:textId="32728885" w:rsidR="00D42863" w:rsidRPr="004870C7" w:rsidRDefault="00A11744" w:rsidP="00707864">
            <w:pPr>
              <w:jc w:val="left"/>
              <w:rPr>
                <w:i/>
                <w:szCs w:val="20"/>
                <w:lang w:eastAsia="ja-JP"/>
              </w:rPr>
            </w:pPr>
            <w:r w:rsidRPr="004870C7">
              <w:rPr>
                <w:i/>
                <w:szCs w:val="20"/>
                <w:lang w:eastAsia="ja-JP"/>
              </w:rPr>
              <w:t>Rate: App. 395 USD/month, for a period of 43 months</w:t>
            </w:r>
          </w:p>
        </w:tc>
        <w:tc>
          <w:tcPr>
            <w:tcW w:w="1374" w:type="dxa"/>
            <w:tcBorders>
              <w:top w:val="single" w:sz="4" w:space="0" w:color="auto"/>
              <w:left w:val="single" w:sz="4" w:space="0" w:color="auto"/>
              <w:bottom w:val="single" w:sz="4" w:space="0" w:color="auto"/>
              <w:right w:val="single" w:sz="4" w:space="0" w:color="auto"/>
            </w:tcBorders>
          </w:tcPr>
          <w:p w14:paraId="77481642" w14:textId="77777777" w:rsidR="00D42863" w:rsidRPr="004870C7" w:rsidRDefault="00D42863" w:rsidP="00421FD8">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1562925D" w14:textId="77777777" w:rsidR="000B3D40" w:rsidRPr="004870C7" w:rsidRDefault="000B3D40" w:rsidP="000B3D40">
            <w:pPr>
              <w:spacing w:after="0"/>
              <w:rPr>
                <w:rFonts w:cs="Arial"/>
                <w:i/>
                <w:szCs w:val="20"/>
                <w:u w:val="single"/>
                <w:lang w:eastAsia="zh-CN"/>
              </w:rPr>
            </w:pPr>
            <w:r w:rsidRPr="004870C7">
              <w:rPr>
                <w:rFonts w:cs="Arial"/>
                <w:i/>
                <w:szCs w:val="20"/>
                <w:u w:val="single"/>
                <w:lang w:eastAsia="zh-CN"/>
              </w:rPr>
              <w:t>Duties and Responsibilities</w:t>
            </w:r>
          </w:p>
          <w:p w14:paraId="13D6E9E8" w14:textId="77777777" w:rsidR="00F5781A" w:rsidRPr="004870C7" w:rsidRDefault="00F5781A" w:rsidP="00F5781A">
            <w:pPr>
              <w:spacing w:after="0"/>
              <w:rPr>
                <w:i/>
                <w:szCs w:val="20"/>
              </w:rPr>
            </w:pPr>
            <w:r w:rsidRPr="004870C7">
              <w:rPr>
                <w:i/>
                <w:szCs w:val="20"/>
              </w:rPr>
              <w:t>Under the guidance and supervision of the Project Manager, the Project Assistant will carry out the following tasks:</w:t>
            </w:r>
          </w:p>
          <w:p w14:paraId="36D83329" w14:textId="77777777" w:rsidR="00F5781A" w:rsidRPr="004870C7" w:rsidRDefault="00F5781A" w:rsidP="00FA41FE">
            <w:pPr>
              <w:numPr>
                <w:ilvl w:val="0"/>
                <w:numId w:val="10"/>
              </w:numPr>
              <w:spacing w:after="0" w:line="256" w:lineRule="auto"/>
              <w:jc w:val="left"/>
              <w:rPr>
                <w:i/>
                <w:szCs w:val="20"/>
              </w:rPr>
            </w:pPr>
            <w:r w:rsidRPr="004870C7">
              <w:rPr>
                <w:i/>
                <w:szCs w:val="20"/>
              </w:rPr>
              <w:t>Assist the Project Manager in day-to-day management and oversight of project activities;</w:t>
            </w:r>
          </w:p>
          <w:p w14:paraId="1F2F897B" w14:textId="77777777" w:rsidR="00F5781A" w:rsidRPr="004870C7" w:rsidRDefault="00F5781A" w:rsidP="00FA41FE">
            <w:pPr>
              <w:numPr>
                <w:ilvl w:val="0"/>
                <w:numId w:val="10"/>
              </w:numPr>
              <w:spacing w:after="0" w:line="256" w:lineRule="auto"/>
              <w:jc w:val="left"/>
              <w:rPr>
                <w:i/>
                <w:szCs w:val="20"/>
              </w:rPr>
            </w:pPr>
            <w:r w:rsidRPr="004870C7">
              <w:rPr>
                <w:i/>
                <w:szCs w:val="20"/>
              </w:rPr>
              <w:t>Assist the M&amp;E officer in matters related to M&amp;E and knowledge resources management;</w:t>
            </w:r>
          </w:p>
          <w:p w14:paraId="7DBA0880" w14:textId="77777777" w:rsidR="00F5781A" w:rsidRPr="004870C7" w:rsidRDefault="00F5781A" w:rsidP="00FA41FE">
            <w:pPr>
              <w:numPr>
                <w:ilvl w:val="0"/>
                <w:numId w:val="10"/>
              </w:numPr>
              <w:spacing w:after="0" w:line="256" w:lineRule="auto"/>
              <w:jc w:val="left"/>
              <w:rPr>
                <w:i/>
                <w:szCs w:val="20"/>
              </w:rPr>
            </w:pPr>
            <w:r w:rsidRPr="004870C7">
              <w:rPr>
                <w:i/>
                <w:szCs w:val="20"/>
              </w:rPr>
              <w:t>Assist in the preparation of progress reports;</w:t>
            </w:r>
          </w:p>
          <w:p w14:paraId="64E50804" w14:textId="77777777" w:rsidR="00F5781A" w:rsidRPr="004870C7" w:rsidRDefault="00F5781A" w:rsidP="00FA41FE">
            <w:pPr>
              <w:numPr>
                <w:ilvl w:val="0"/>
                <w:numId w:val="10"/>
              </w:numPr>
              <w:spacing w:after="0" w:line="256" w:lineRule="auto"/>
              <w:jc w:val="left"/>
              <w:rPr>
                <w:i/>
                <w:szCs w:val="20"/>
              </w:rPr>
            </w:pPr>
            <w:r w:rsidRPr="004870C7">
              <w:rPr>
                <w:i/>
                <w:szCs w:val="20"/>
              </w:rPr>
              <w:t>Ensure all project documentation (progress reports, consulting and other technical reports, minutes of meetings, etc.) are properly maintained in hard and electronic copies in an efficient and readily accessible filing system, for when required by PB, TAC, UNDP, project consultants and other PMU staff;</w:t>
            </w:r>
          </w:p>
          <w:p w14:paraId="4171627C" w14:textId="77777777" w:rsidR="00F5781A" w:rsidRPr="004870C7" w:rsidRDefault="00F5781A" w:rsidP="00FA41FE">
            <w:pPr>
              <w:numPr>
                <w:ilvl w:val="0"/>
                <w:numId w:val="10"/>
              </w:numPr>
              <w:spacing w:after="0" w:line="256" w:lineRule="auto"/>
              <w:jc w:val="left"/>
              <w:rPr>
                <w:i/>
                <w:szCs w:val="20"/>
              </w:rPr>
            </w:pPr>
            <w:r w:rsidRPr="004870C7">
              <w:rPr>
                <w:i/>
                <w:szCs w:val="20"/>
              </w:rPr>
              <w:t>Provide PMU-related administrative and logistical assistance.</w:t>
            </w:r>
          </w:p>
          <w:p w14:paraId="238AE002" w14:textId="77777777" w:rsidR="00D42863" w:rsidRPr="004870C7" w:rsidRDefault="00D42863" w:rsidP="00421FD8">
            <w:pPr>
              <w:spacing w:after="0"/>
              <w:ind w:left="360"/>
              <w:contextualSpacing/>
              <w:jc w:val="left"/>
              <w:rPr>
                <w:rFonts w:eastAsia="MS Mincho"/>
                <w:i/>
                <w:szCs w:val="20"/>
                <w:lang w:eastAsia="ja-JP"/>
              </w:rPr>
            </w:pPr>
          </w:p>
        </w:tc>
      </w:tr>
      <w:tr w:rsidR="00B62841" w:rsidRPr="004870C7" w14:paraId="0AD3923B" w14:textId="77777777" w:rsidTr="00763EFB">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83881AC" w14:textId="6A290E51" w:rsidR="00B62841" w:rsidRPr="004870C7" w:rsidRDefault="00A11744" w:rsidP="00763EFB">
            <w:pPr>
              <w:jc w:val="center"/>
              <w:rPr>
                <w:b/>
                <w:i/>
                <w:szCs w:val="20"/>
                <w:lang w:eastAsia="ja-JP"/>
              </w:rPr>
            </w:pPr>
            <w:r w:rsidRPr="004870C7">
              <w:rPr>
                <w:b/>
                <w:i/>
                <w:szCs w:val="20"/>
                <w:lang w:eastAsia="ja-JP"/>
              </w:rPr>
              <w:t>Component 1</w:t>
            </w:r>
            <w:r w:rsidR="00B62841" w:rsidRPr="004870C7">
              <w:rPr>
                <w:b/>
                <w:i/>
                <w:szCs w:val="20"/>
                <w:lang w:eastAsia="ja-JP"/>
              </w:rPr>
              <w:t xml:space="preserve">: </w:t>
            </w:r>
            <w:r w:rsidR="009C49F3" w:rsidRPr="004870C7">
              <w:rPr>
                <w:b/>
                <w:i/>
                <w:iCs/>
                <w:szCs w:val="20"/>
                <w:lang w:eastAsia="ja-JP"/>
              </w:rPr>
              <w:t>National Circumstances, Institutional Arrangements, Description of NDC, Constraints, Gaps and Other Info</w:t>
            </w:r>
          </w:p>
        </w:tc>
      </w:tr>
      <w:tr w:rsidR="00FB08FB" w:rsidRPr="004870C7" w14:paraId="29907597" w14:textId="77777777" w:rsidTr="00A11744">
        <w:tc>
          <w:tcPr>
            <w:tcW w:w="2029" w:type="dxa"/>
            <w:tcBorders>
              <w:top w:val="single" w:sz="4" w:space="0" w:color="auto"/>
              <w:left w:val="single" w:sz="4" w:space="0" w:color="auto"/>
              <w:bottom w:val="single" w:sz="4" w:space="0" w:color="auto"/>
              <w:right w:val="single" w:sz="4" w:space="0" w:color="auto"/>
            </w:tcBorders>
          </w:tcPr>
          <w:p w14:paraId="16B655BD" w14:textId="77777777" w:rsidR="00FB08FB" w:rsidRPr="004870C7" w:rsidRDefault="00F266AB" w:rsidP="00F266AB">
            <w:pPr>
              <w:jc w:val="left"/>
              <w:rPr>
                <w:i/>
                <w:szCs w:val="20"/>
                <w:lang w:eastAsia="ja-JP"/>
              </w:rPr>
            </w:pPr>
            <w:r w:rsidRPr="007F24D7">
              <w:rPr>
                <w:i/>
                <w:szCs w:val="20"/>
                <w:lang w:eastAsia="ja-JP"/>
              </w:rPr>
              <w:t xml:space="preserve">Gender </w:t>
            </w:r>
            <w:r w:rsidR="00A11744" w:rsidRPr="007F24D7">
              <w:rPr>
                <w:i/>
                <w:szCs w:val="20"/>
                <w:lang w:eastAsia="ja-JP"/>
              </w:rPr>
              <w:t>Expert</w:t>
            </w:r>
          </w:p>
          <w:p w14:paraId="59BEC804" w14:textId="5DD20696" w:rsidR="00A11744" w:rsidRPr="004870C7" w:rsidRDefault="00A11744" w:rsidP="00F266AB">
            <w:pPr>
              <w:jc w:val="left"/>
              <w:rPr>
                <w:i/>
                <w:szCs w:val="20"/>
                <w:lang w:eastAsia="ja-JP"/>
              </w:rPr>
            </w:pPr>
            <w:r w:rsidRPr="004870C7">
              <w:rPr>
                <w:i/>
                <w:szCs w:val="20"/>
                <w:lang w:eastAsia="ja-JP"/>
              </w:rPr>
              <w:t>Rate: App. 50 working days/150 USD, for a period of two years</w:t>
            </w:r>
          </w:p>
        </w:tc>
        <w:tc>
          <w:tcPr>
            <w:tcW w:w="1374" w:type="dxa"/>
            <w:tcBorders>
              <w:top w:val="single" w:sz="4" w:space="0" w:color="auto"/>
              <w:left w:val="single" w:sz="4" w:space="0" w:color="auto"/>
              <w:bottom w:val="single" w:sz="4" w:space="0" w:color="auto"/>
              <w:right w:val="single" w:sz="4" w:space="0" w:color="auto"/>
            </w:tcBorders>
          </w:tcPr>
          <w:p w14:paraId="070C3991" w14:textId="77777777" w:rsidR="00FB08FB" w:rsidRPr="004870C7" w:rsidRDefault="00FB08FB"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7CD29CB3" w14:textId="77777777" w:rsidR="00F266AB" w:rsidRPr="004870C7" w:rsidRDefault="00F266AB" w:rsidP="00F266AB">
            <w:pPr>
              <w:spacing w:after="0"/>
              <w:rPr>
                <w:rFonts w:cs="Arial"/>
                <w:i/>
                <w:szCs w:val="20"/>
                <w:u w:val="single"/>
                <w:lang w:eastAsia="zh-CN"/>
              </w:rPr>
            </w:pPr>
            <w:r w:rsidRPr="004870C7">
              <w:rPr>
                <w:rFonts w:cs="Arial"/>
                <w:i/>
                <w:szCs w:val="20"/>
                <w:u w:val="single"/>
                <w:lang w:eastAsia="zh-CN"/>
              </w:rPr>
              <w:t>Duties and Responsibilities</w:t>
            </w:r>
          </w:p>
          <w:p w14:paraId="0F8B6676" w14:textId="77777777" w:rsidR="00FB08FB" w:rsidRPr="004870C7" w:rsidRDefault="00FB08FB" w:rsidP="00FA41FE">
            <w:pPr>
              <w:numPr>
                <w:ilvl w:val="0"/>
                <w:numId w:val="9"/>
              </w:numPr>
              <w:spacing w:after="0" w:line="259" w:lineRule="auto"/>
              <w:jc w:val="left"/>
              <w:rPr>
                <w:szCs w:val="20"/>
              </w:rPr>
            </w:pPr>
            <w:r w:rsidRPr="004870C7">
              <w:rPr>
                <w:szCs w:val="20"/>
              </w:rPr>
              <w:t>Monitor progress in implementation of the project Gender Action Plan ensuring that targets are fully met and the reporting requirements are fulfilled;</w:t>
            </w:r>
          </w:p>
          <w:p w14:paraId="71E687F1" w14:textId="77777777" w:rsidR="00FB08FB" w:rsidRPr="004870C7" w:rsidRDefault="00FB08FB" w:rsidP="00FA41FE">
            <w:pPr>
              <w:numPr>
                <w:ilvl w:val="0"/>
                <w:numId w:val="9"/>
              </w:numPr>
              <w:spacing w:after="0" w:line="259" w:lineRule="auto"/>
              <w:jc w:val="left"/>
              <w:rPr>
                <w:szCs w:val="20"/>
              </w:rPr>
            </w:pPr>
            <w:r w:rsidRPr="004870C7">
              <w:rPr>
                <w:szCs w:val="20"/>
              </w:rPr>
              <w:t>Oversee/develop/coordinate implementation of all gender-related work;</w:t>
            </w:r>
          </w:p>
          <w:p w14:paraId="33FA28E7" w14:textId="77777777" w:rsidR="00FB08FB" w:rsidRPr="004870C7" w:rsidRDefault="00FB08FB" w:rsidP="00FA41FE">
            <w:pPr>
              <w:numPr>
                <w:ilvl w:val="0"/>
                <w:numId w:val="9"/>
              </w:numPr>
              <w:spacing w:after="0" w:line="259" w:lineRule="auto"/>
              <w:jc w:val="left"/>
              <w:rPr>
                <w:szCs w:val="20"/>
              </w:rPr>
            </w:pPr>
            <w:r w:rsidRPr="004870C7">
              <w:rPr>
                <w:szCs w:val="20"/>
              </w:rPr>
              <w:t>Review the Gender Action Plan annually, and update and revise corresponding management plans as necessary;</w:t>
            </w:r>
          </w:p>
          <w:p w14:paraId="7B0929AB" w14:textId="1FDC8526" w:rsidR="00FB08FB" w:rsidRPr="004870C7" w:rsidRDefault="00FB08FB" w:rsidP="00FA41FE">
            <w:pPr>
              <w:numPr>
                <w:ilvl w:val="0"/>
                <w:numId w:val="9"/>
              </w:numPr>
              <w:spacing w:after="0" w:line="259" w:lineRule="auto"/>
              <w:jc w:val="left"/>
              <w:rPr>
                <w:szCs w:val="20"/>
              </w:rPr>
            </w:pPr>
            <w:r w:rsidRPr="004870C7">
              <w:rPr>
                <w:szCs w:val="20"/>
              </w:rPr>
              <w:t>Work with the</w:t>
            </w:r>
            <w:r w:rsidR="00CA3199">
              <w:rPr>
                <w:szCs w:val="20"/>
              </w:rPr>
              <w:t xml:space="preserve"> Project Manager/Coordinator</w:t>
            </w:r>
            <w:r w:rsidRPr="004870C7">
              <w:rPr>
                <w:szCs w:val="20"/>
              </w:rPr>
              <w:t xml:space="preserve"> to ensure reporting, monitoring and evaluation fully address the gender issues of the project;</w:t>
            </w:r>
          </w:p>
        </w:tc>
      </w:tr>
      <w:tr w:rsidR="00FB08FB" w:rsidRPr="004870C7" w14:paraId="1832C7A4" w14:textId="77777777" w:rsidTr="00A11744">
        <w:tc>
          <w:tcPr>
            <w:tcW w:w="2029" w:type="dxa"/>
            <w:tcBorders>
              <w:top w:val="single" w:sz="4" w:space="0" w:color="auto"/>
              <w:left w:val="single" w:sz="4" w:space="0" w:color="auto"/>
              <w:bottom w:val="single" w:sz="4" w:space="0" w:color="auto"/>
              <w:right w:val="single" w:sz="4" w:space="0" w:color="auto"/>
            </w:tcBorders>
          </w:tcPr>
          <w:p w14:paraId="179BE8E4" w14:textId="657A38FC" w:rsidR="00A11744" w:rsidRPr="004870C7" w:rsidRDefault="009C49F3" w:rsidP="00A11744">
            <w:pPr>
              <w:spacing w:after="0"/>
              <w:jc w:val="left"/>
              <w:rPr>
                <w:rFonts w:asciiTheme="minorHAnsi" w:hAnsiTheme="minorHAnsi" w:cstheme="minorHAnsi"/>
                <w:bCs/>
                <w:i/>
                <w:iCs/>
                <w:szCs w:val="20"/>
              </w:rPr>
            </w:pPr>
            <w:r w:rsidRPr="007F24D7">
              <w:rPr>
                <w:i/>
                <w:szCs w:val="20"/>
                <w:lang w:eastAsia="ja-JP"/>
              </w:rPr>
              <w:t xml:space="preserve">National </w:t>
            </w:r>
            <w:r w:rsidR="00A11744" w:rsidRPr="007F24D7">
              <w:rPr>
                <w:i/>
                <w:szCs w:val="20"/>
                <w:lang w:eastAsia="ja-JP"/>
              </w:rPr>
              <w:t>experts</w:t>
            </w:r>
            <w:r w:rsidR="00A11744" w:rsidRPr="004870C7">
              <w:rPr>
                <w:i/>
                <w:szCs w:val="20"/>
                <w:lang w:eastAsia="ja-JP"/>
              </w:rPr>
              <w:t xml:space="preserve"> for review of</w:t>
            </w:r>
            <w:r w:rsidR="00A11744" w:rsidRPr="004870C7">
              <w:rPr>
                <w:rFonts w:asciiTheme="minorHAnsi" w:hAnsiTheme="minorHAnsi" w:cstheme="minorHAnsi"/>
                <w:bCs/>
                <w:szCs w:val="20"/>
              </w:rPr>
              <w:t xml:space="preserve"> </w:t>
            </w:r>
            <w:r w:rsidR="00A11744" w:rsidRPr="004870C7">
              <w:rPr>
                <w:rFonts w:asciiTheme="minorHAnsi" w:hAnsiTheme="minorHAnsi" w:cstheme="minorHAnsi"/>
                <w:bCs/>
                <w:i/>
                <w:iCs/>
                <w:szCs w:val="20"/>
              </w:rPr>
              <w:t>institutional, legal, strategic, technical and financial framework</w:t>
            </w:r>
            <w:r w:rsidR="00C84852" w:rsidRPr="004870C7">
              <w:rPr>
                <w:rFonts w:asciiTheme="minorHAnsi" w:hAnsiTheme="minorHAnsi" w:cstheme="minorHAnsi"/>
                <w:bCs/>
                <w:i/>
                <w:iCs/>
                <w:szCs w:val="20"/>
              </w:rPr>
              <w:t>s, for National Circumstances Chapter</w:t>
            </w:r>
          </w:p>
          <w:p w14:paraId="25069298" w14:textId="6CCA4878" w:rsidR="00C84852" w:rsidRPr="004870C7" w:rsidRDefault="00C84852" w:rsidP="00A11744">
            <w:pPr>
              <w:spacing w:after="0"/>
              <w:jc w:val="left"/>
              <w:rPr>
                <w:i/>
                <w:szCs w:val="20"/>
                <w:lang w:eastAsia="ja-JP"/>
              </w:rPr>
            </w:pPr>
            <w:r w:rsidRPr="004870C7">
              <w:rPr>
                <w:rFonts w:asciiTheme="minorHAnsi" w:hAnsiTheme="minorHAnsi" w:cstheme="minorHAnsi"/>
                <w:bCs/>
                <w:i/>
                <w:iCs/>
                <w:szCs w:val="20"/>
              </w:rPr>
              <w:lastRenderedPageBreak/>
              <w:t xml:space="preserve">Rate: 110 working days/150 USD for a period of four years </w:t>
            </w:r>
          </w:p>
          <w:p w14:paraId="3DFD2EA9" w14:textId="5F1A8638" w:rsidR="00A11744" w:rsidRPr="004870C7" w:rsidRDefault="00A11744" w:rsidP="00A11744">
            <w:pPr>
              <w:spacing w:after="0"/>
              <w:jc w:val="left"/>
              <w:rPr>
                <w:i/>
                <w:szCs w:val="20"/>
                <w:lang w:eastAsia="ja-JP"/>
              </w:rPr>
            </w:pPr>
          </w:p>
        </w:tc>
        <w:tc>
          <w:tcPr>
            <w:tcW w:w="1374" w:type="dxa"/>
            <w:tcBorders>
              <w:top w:val="single" w:sz="4" w:space="0" w:color="auto"/>
              <w:left w:val="single" w:sz="4" w:space="0" w:color="auto"/>
              <w:bottom w:val="single" w:sz="4" w:space="0" w:color="auto"/>
              <w:right w:val="single" w:sz="4" w:space="0" w:color="auto"/>
            </w:tcBorders>
          </w:tcPr>
          <w:p w14:paraId="34F3E2C9" w14:textId="77777777" w:rsidR="00FB08FB" w:rsidRPr="004870C7" w:rsidRDefault="00FB08FB"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27EA146D" w14:textId="77777777" w:rsidR="00C84852" w:rsidRPr="004870C7" w:rsidRDefault="00C84852" w:rsidP="00C84852">
            <w:pPr>
              <w:spacing w:after="0"/>
              <w:rPr>
                <w:rFonts w:cs="Arial"/>
                <w:i/>
                <w:szCs w:val="20"/>
                <w:u w:val="single"/>
                <w:lang w:eastAsia="zh-CN"/>
              </w:rPr>
            </w:pPr>
            <w:r w:rsidRPr="004870C7">
              <w:rPr>
                <w:rFonts w:cs="Arial"/>
                <w:i/>
                <w:szCs w:val="20"/>
                <w:u w:val="single"/>
                <w:lang w:eastAsia="zh-CN"/>
              </w:rPr>
              <w:t>Duties and Responsibilities</w:t>
            </w:r>
          </w:p>
          <w:p w14:paraId="4A71AC8D" w14:textId="71DEC7D3" w:rsidR="00C84852" w:rsidRPr="004870C7" w:rsidRDefault="00C84852" w:rsidP="00C84852">
            <w:pPr>
              <w:pStyle w:val="ListParagraph"/>
              <w:numPr>
                <w:ilvl w:val="0"/>
                <w:numId w:val="45"/>
              </w:numPr>
              <w:spacing w:line="259" w:lineRule="auto"/>
              <w:ind w:left="408" w:hanging="408"/>
              <w:rPr>
                <w:rFonts w:ascii="Calibri" w:hAnsi="Calibri" w:cs="Calibri"/>
                <w:iCs/>
                <w:sz w:val="20"/>
                <w:szCs w:val="20"/>
              </w:rPr>
            </w:pPr>
            <w:r w:rsidRPr="004870C7">
              <w:rPr>
                <w:rFonts w:ascii="Calibri" w:hAnsi="Calibri" w:cs="Calibri"/>
                <w:iCs/>
                <w:sz w:val="20"/>
                <w:szCs w:val="20"/>
              </w:rPr>
              <w:t>Review of previous NCs</w:t>
            </w:r>
          </w:p>
          <w:p w14:paraId="4141F265" w14:textId="1A741FD4" w:rsidR="00C84852" w:rsidRPr="004870C7" w:rsidRDefault="00C84852" w:rsidP="00C84852">
            <w:pPr>
              <w:pStyle w:val="ListParagraph"/>
              <w:numPr>
                <w:ilvl w:val="0"/>
                <w:numId w:val="45"/>
              </w:numPr>
              <w:spacing w:line="259" w:lineRule="auto"/>
              <w:ind w:left="408" w:hanging="408"/>
              <w:rPr>
                <w:rFonts w:ascii="Calibri" w:hAnsi="Calibri" w:cs="Calibri"/>
                <w:iCs/>
                <w:sz w:val="20"/>
                <w:szCs w:val="20"/>
              </w:rPr>
            </w:pPr>
            <w:r w:rsidRPr="004870C7">
              <w:rPr>
                <w:rFonts w:ascii="Calibri" w:hAnsi="Calibri" w:cs="Calibri"/>
                <w:iCs/>
                <w:sz w:val="20"/>
                <w:szCs w:val="20"/>
              </w:rPr>
              <w:t>Review of all new national policies and strategies form the last NC submission</w:t>
            </w:r>
          </w:p>
          <w:p w14:paraId="0AA4EFDA" w14:textId="5FEC3D1A" w:rsidR="00C84852" w:rsidRPr="004870C7" w:rsidRDefault="00C84852" w:rsidP="00C84852">
            <w:pPr>
              <w:pStyle w:val="ListParagraph"/>
              <w:numPr>
                <w:ilvl w:val="0"/>
                <w:numId w:val="45"/>
              </w:numPr>
              <w:spacing w:line="259" w:lineRule="auto"/>
              <w:ind w:left="408" w:hanging="408"/>
              <w:rPr>
                <w:rFonts w:ascii="Calibri" w:hAnsi="Calibri" w:cs="Calibri"/>
                <w:iCs/>
                <w:sz w:val="20"/>
                <w:szCs w:val="20"/>
              </w:rPr>
            </w:pPr>
            <w:r w:rsidRPr="004870C7">
              <w:rPr>
                <w:rFonts w:ascii="Calibri" w:hAnsi="Calibri" w:cs="Calibri"/>
                <w:iCs/>
                <w:sz w:val="20"/>
                <w:szCs w:val="20"/>
              </w:rPr>
              <w:t>Review of legislation framework and changes made form the last NC submission</w:t>
            </w:r>
          </w:p>
          <w:p w14:paraId="04F0EA50" w14:textId="1EB8F706" w:rsidR="00C84852" w:rsidRPr="004870C7" w:rsidRDefault="00C84852" w:rsidP="00C84852">
            <w:pPr>
              <w:pStyle w:val="ListParagraph"/>
              <w:numPr>
                <w:ilvl w:val="0"/>
                <w:numId w:val="45"/>
              </w:numPr>
              <w:spacing w:line="259" w:lineRule="auto"/>
              <w:ind w:left="408" w:hanging="408"/>
              <w:rPr>
                <w:rFonts w:ascii="Calibri" w:hAnsi="Calibri" w:cs="Calibri"/>
                <w:iCs/>
                <w:sz w:val="20"/>
                <w:szCs w:val="20"/>
              </w:rPr>
            </w:pPr>
            <w:r w:rsidRPr="004870C7">
              <w:rPr>
                <w:rFonts w:ascii="Calibri" w:hAnsi="Calibri" w:cs="Calibri"/>
                <w:iCs/>
                <w:sz w:val="20"/>
                <w:szCs w:val="20"/>
              </w:rPr>
              <w:t xml:space="preserve">Review of NDC targets and advancements made since the revision </w:t>
            </w:r>
          </w:p>
          <w:p w14:paraId="0B500740" w14:textId="6943005C" w:rsidR="00FB08FB" w:rsidRPr="004870C7" w:rsidRDefault="00C84852" w:rsidP="00C84852">
            <w:pPr>
              <w:spacing w:line="259" w:lineRule="auto"/>
              <w:rPr>
                <w:i/>
                <w:szCs w:val="20"/>
              </w:rPr>
            </w:pPr>
            <w:r w:rsidRPr="004870C7">
              <w:rPr>
                <w:i/>
                <w:szCs w:val="20"/>
              </w:rPr>
              <w:t xml:space="preserve"> </w:t>
            </w:r>
          </w:p>
        </w:tc>
      </w:tr>
      <w:tr w:rsidR="009C49F3" w:rsidRPr="004870C7" w14:paraId="40148DC5" w14:textId="77777777" w:rsidTr="00752B12">
        <w:tc>
          <w:tcPr>
            <w:tcW w:w="14022" w:type="dxa"/>
            <w:gridSpan w:val="3"/>
            <w:tcBorders>
              <w:top w:val="single" w:sz="4" w:space="0" w:color="auto"/>
              <w:left w:val="single" w:sz="4" w:space="0" w:color="auto"/>
              <w:bottom w:val="single" w:sz="4" w:space="0" w:color="auto"/>
              <w:right w:val="single" w:sz="4" w:space="0" w:color="auto"/>
            </w:tcBorders>
          </w:tcPr>
          <w:p w14:paraId="1E8DC6E9" w14:textId="4FAF20F6" w:rsidR="009C49F3" w:rsidRPr="004870C7" w:rsidRDefault="009C49F3" w:rsidP="009C49F3">
            <w:pPr>
              <w:spacing w:after="0"/>
              <w:jc w:val="center"/>
              <w:rPr>
                <w:rFonts w:cs="Arial"/>
                <w:b/>
                <w:bCs/>
                <w:i/>
                <w:szCs w:val="20"/>
                <w:lang w:eastAsia="zh-CN"/>
              </w:rPr>
            </w:pPr>
            <w:r w:rsidRPr="004870C7">
              <w:rPr>
                <w:rFonts w:cs="Arial"/>
                <w:b/>
                <w:bCs/>
                <w:i/>
                <w:szCs w:val="20"/>
                <w:lang w:eastAsia="zh-CN"/>
              </w:rPr>
              <w:t xml:space="preserve">Component 3: </w:t>
            </w:r>
            <w:r w:rsidR="004870C7" w:rsidRPr="004870C7">
              <w:rPr>
                <w:rFonts w:cs="Arial"/>
                <w:b/>
                <w:bCs/>
                <w:i/>
                <w:iCs/>
                <w:szCs w:val="20"/>
                <w:lang w:eastAsia="zh-CN"/>
              </w:rPr>
              <w:t>Track Progress of NDC implementation and Achievement and Mitigation Actions</w:t>
            </w:r>
          </w:p>
        </w:tc>
      </w:tr>
      <w:tr w:rsidR="00C72B71" w:rsidRPr="004870C7" w14:paraId="5C1429F0" w14:textId="77777777" w:rsidTr="00A11744">
        <w:tc>
          <w:tcPr>
            <w:tcW w:w="2029" w:type="dxa"/>
            <w:tcBorders>
              <w:top w:val="single" w:sz="4" w:space="0" w:color="auto"/>
              <w:left w:val="single" w:sz="4" w:space="0" w:color="auto"/>
              <w:bottom w:val="single" w:sz="4" w:space="0" w:color="auto"/>
              <w:right w:val="single" w:sz="4" w:space="0" w:color="auto"/>
            </w:tcBorders>
          </w:tcPr>
          <w:p w14:paraId="7A3D7A3F" w14:textId="2AB5D6B5" w:rsidR="00C72B71" w:rsidRPr="00C7657B" w:rsidRDefault="00764340" w:rsidP="00FB08FB">
            <w:pPr>
              <w:spacing w:after="0"/>
              <w:jc w:val="left"/>
              <w:rPr>
                <w:i/>
                <w:szCs w:val="20"/>
              </w:rPr>
            </w:pPr>
            <w:r w:rsidRPr="00C7657B">
              <w:rPr>
                <w:i/>
                <w:szCs w:val="20"/>
              </w:rPr>
              <w:t>Mitigation Experts – international</w:t>
            </w:r>
          </w:p>
          <w:p w14:paraId="5B2DD31F" w14:textId="77777777" w:rsidR="00764340" w:rsidRDefault="00764340" w:rsidP="00FB08FB">
            <w:pPr>
              <w:spacing w:after="0"/>
              <w:jc w:val="left"/>
              <w:rPr>
                <w:rFonts w:cs="Calibri"/>
                <w:bCs/>
                <w:i/>
                <w:szCs w:val="20"/>
                <w:lang w:eastAsia="zh-CN"/>
              </w:rPr>
            </w:pPr>
          </w:p>
          <w:p w14:paraId="64886C22" w14:textId="77777777" w:rsidR="00764340" w:rsidRDefault="00764340" w:rsidP="00764340">
            <w:pPr>
              <w:spacing w:after="0"/>
              <w:jc w:val="left"/>
              <w:rPr>
                <w:rFonts w:cs="Calibri"/>
                <w:bCs/>
                <w:i/>
                <w:szCs w:val="20"/>
                <w:lang w:eastAsia="zh-CN"/>
              </w:rPr>
            </w:pPr>
            <w:r w:rsidRPr="00764340">
              <w:rPr>
                <w:rFonts w:cs="Calibri"/>
                <w:bCs/>
                <w:i/>
                <w:szCs w:val="20"/>
                <w:lang w:eastAsia="zh-CN"/>
              </w:rPr>
              <w:t>Rate: app. 170 working days/300 USD, for a period of four years.</w:t>
            </w:r>
          </w:p>
          <w:p w14:paraId="06F73304" w14:textId="244ACC32" w:rsidR="00764340" w:rsidRPr="004870C7" w:rsidRDefault="00764340" w:rsidP="00764340">
            <w:pPr>
              <w:spacing w:after="0"/>
              <w:jc w:val="left"/>
              <w:rPr>
                <w:i/>
                <w:szCs w:val="20"/>
                <w:highlight w:val="yellow"/>
              </w:rPr>
            </w:pPr>
          </w:p>
        </w:tc>
        <w:tc>
          <w:tcPr>
            <w:tcW w:w="1374" w:type="dxa"/>
            <w:tcBorders>
              <w:top w:val="single" w:sz="4" w:space="0" w:color="auto"/>
              <w:left w:val="single" w:sz="4" w:space="0" w:color="auto"/>
              <w:bottom w:val="single" w:sz="4" w:space="0" w:color="auto"/>
              <w:right w:val="single" w:sz="4" w:space="0" w:color="auto"/>
            </w:tcBorders>
          </w:tcPr>
          <w:p w14:paraId="546CC983" w14:textId="77777777" w:rsidR="00C72B71" w:rsidRPr="004870C7" w:rsidRDefault="00C72B71"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6722D2E4" w14:textId="77777777" w:rsidR="00764340" w:rsidRPr="00764340" w:rsidRDefault="00764340" w:rsidP="009C49F3">
            <w:pPr>
              <w:pStyle w:val="ListParagraph"/>
              <w:numPr>
                <w:ilvl w:val="0"/>
                <w:numId w:val="46"/>
              </w:numPr>
              <w:ind w:left="408"/>
              <w:rPr>
                <w:rFonts w:ascii="Calibri" w:hAnsi="Calibri" w:cs="Calibri"/>
                <w:iCs/>
                <w:sz w:val="20"/>
                <w:szCs w:val="20"/>
                <w:lang w:eastAsia="zh-CN"/>
              </w:rPr>
            </w:pPr>
            <w:r>
              <w:rPr>
                <w:rFonts w:ascii="Calibri" w:hAnsi="Calibri" w:cs="Calibri"/>
                <w:bCs/>
                <w:iCs/>
                <w:sz w:val="20"/>
                <w:szCs w:val="20"/>
                <w:lang w:eastAsia="zh-CN"/>
              </w:rPr>
              <w:t>P</w:t>
            </w:r>
            <w:r w:rsidRPr="00764340">
              <w:rPr>
                <w:rFonts w:ascii="Calibri" w:hAnsi="Calibri" w:cs="Calibri"/>
                <w:bCs/>
                <w:iCs/>
                <w:sz w:val="20"/>
                <w:szCs w:val="20"/>
                <w:lang w:eastAsia="zh-CN"/>
              </w:rPr>
              <w:t>rovide guidance in relation to the analysis of mitigation measures</w:t>
            </w:r>
          </w:p>
          <w:p w14:paraId="1528C509" w14:textId="77777777" w:rsidR="00764340" w:rsidRPr="00764340" w:rsidRDefault="00764340" w:rsidP="009C49F3">
            <w:pPr>
              <w:pStyle w:val="ListParagraph"/>
              <w:numPr>
                <w:ilvl w:val="0"/>
                <w:numId w:val="46"/>
              </w:numPr>
              <w:ind w:left="408"/>
              <w:rPr>
                <w:rFonts w:ascii="Calibri" w:hAnsi="Calibri" w:cs="Calibri"/>
                <w:iCs/>
                <w:sz w:val="20"/>
                <w:szCs w:val="20"/>
                <w:lang w:eastAsia="zh-CN"/>
              </w:rPr>
            </w:pPr>
            <w:r>
              <w:rPr>
                <w:rFonts w:ascii="Calibri" w:hAnsi="Calibri" w:cs="Calibri"/>
                <w:bCs/>
                <w:iCs/>
                <w:sz w:val="20"/>
                <w:szCs w:val="20"/>
                <w:lang w:eastAsia="zh-CN"/>
              </w:rPr>
              <w:t>Provide t</w:t>
            </w:r>
            <w:r w:rsidRPr="00764340">
              <w:rPr>
                <w:rFonts w:ascii="Calibri" w:hAnsi="Calibri" w:cs="Calibri"/>
                <w:bCs/>
                <w:iCs/>
                <w:sz w:val="20"/>
                <w:szCs w:val="20"/>
                <w:lang w:eastAsia="zh-CN"/>
              </w:rPr>
              <w:t xml:space="preserve">echnical inputs in relation to the analysis of mitigation measures, </w:t>
            </w:r>
          </w:p>
          <w:p w14:paraId="55A07356" w14:textId="54C623D9" w:rsidR="00764340" w:rsidRPr="00764340" w:rsidRDefault="00764340" w:rsidP="009C49F3">
            <w:pPr>
              <w:pStyle w:val="ListParagraph"/>
              <w:numPr>
                <w:ilvl w:val="0"/>
                <w:numId w:val="46"/>
              </w:numPr>
              <w:ind w:left="408"/>
              <w:rPr>
                <w:rFonts w:ascii="Calibri" w:hAnsi="Calibri" w:cs="Calibri"/>
                <w:iCs/>
                <w:sz w:val="20"/>
                <w:szCs w:val="20"/>
                <w:lang w:eastAsia="zh-CN"/>
              </w:rPr>
            </w:pPr>
            <w:r>
              <w:rPr>
                <w:rFonts w:ascii="Calibri" w:hAnsi="Calibri" w:cs="Calibri"/>
                <w:bCs/>
                <w:iCs/>
                <w:sz w:val="20"/>
                <w:szCs w:val="20"/>
                <w:lang w:eastAsia="zh-CN"/>
              </w:rPr>
              <w:t xml:space="preserve">Provide guidance and technical expertise in relation to </w:t>
            </w:r>
            <w:r w:rsidRPr="00764340">
              <w:rPr>
                <w:rFonts w:ascii="Calibri" w:hAnsi="Calibri" w:cs="Calibri"/>
                <w:bCs/>
                <w:iCs/>
                <w:sz w:val="20"/>
                <w:szCs w:val="20"/>
                <w:lang w:eastAsia="zh-CN"/>
              </w:rPr>
              <w:t>NDC implementation</w:t>
            </w:r>
            <w:r>
              <w:rPr>
                <w:rFonts w:ascii="Calibri" w:hAnsi="Calibri" w:cs="Calibri"/>
                <w:bCs/>
                <w:iCs/>
                <w:sz w:val="20"/>
                <w:szCs w:val="20"/>
                <w:lang w:eastAsia="zh-CN"/>
              </w:rPr>
              <w:t xml:space="preserve"> and achievements </w:t>
            </w:r>
            <w:r w:rsidRPr="00764340">
              <w:rPr>
                <w:rFonts w:ascii="Calibri" w:hAnsi="Calibri" w:cs="Calibri"/>
                <w:bCs/>
                <w:iCs/>
                <w:sz w:val="20"/>
                <w:szCs w:val="20"/>
                <w:lang w:eastAsia="zh-CN"/>
              </w:rPr>
              <w:t xml:space="preserve"> </w:t>
            </w:r>
          </w:p>
          <w:p w14:paraId="53C5D907" w14:textId="77777777" w:rsidR="00764340" w:rsidRPr="00764340" w:rsidRDefault="00764340" w:rsidP="009C49F3">
            <w:pPr>
              <w:pStyle w:val="ListParagraph"/>
              <w:numPr>
                <w:ilvl w:val="0"/>
                <w:numId w:val="46"/>
              </w:numPr>
              <w:ind w:left="408"/>
              <w:rPr>
                <w:rFonts w:ascii="Calibri" w:hAnsi="Calibri" w:cs="Calibri"/>
                <w:iCs/>
                <w:sz w:val="20"/>
                <w:szCs w:val="20"/>
                <w:lang w:eastAsia="zh-CN"/>
              </w:rPr>
            </w:pPr>
            <w:r>
              <w:rPr>
                <w:rFonts w:ascii="Calibri" w:hAnsi="Calibri" w:cs="Calibri"/>
                <w:bCs/>
                <w:iCs/>
                <w:sz w:val="20"/>
                <w:szCs w:val="20"/>
                <w:lang w:eastAsia="zh-CN"/>
              </w:rPr>
              <w:t xml:space="preserve">Develop </w:t>
            </w:r>
            <w:r w:rsidRPr="00764340">
              <w:rPr>
                <w:rFonts w:ascii="Calibri" w:hAnsi="Calibri" w:cs="Calibri"/>
                <w:bCs/>
                <w:iCs/>
                <w:sz w:val="20"/>
                <w:szCs w:val="20"/>
                <w:lang w:eastAsia="zh-CN"/>
              </w:rPr>
              <w:t xml:space="preserve">GHG emission projections (as a support to national consultants), </w:t>
            </w:r>
          </w:p>
          <w:p w14:paraId="7B0F14C4" w14:textId="15FA2160" w:rsidR="00764340" w:rsidRDefault="00764340" w:rsidP="00764340">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Provide guidance for development of r</w:t>
            </w:r>
            <w:r w:rsidRPr="004870C7">
              <w:rPr>
                <w:rFonts w:ascii="Calibri" w:hAnsi="Calibri" w:cs="Calibri"/>
                <w:iCs/>
                <w:sz w:val="20"/>
                <w:szCs w:val="20"/>
                <w:lang w:eastAsia="zh-CN"/>
              </w:rPr>
              <w:t>oadmap for NDC3 implementation up to 2030</w:t>
            </w:r>
          </w:p>
          <w:p w14:paraId="6C7B951B" w14:textId="036EAC26" w:rsidR="00C72B71" w:rsidRPr="00764340" w:rsidRDefault="00764340" w:rsidP="00764340">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Provide expert inputs for the s</w:t>
            </w:r>
            <w:r w:rsidRPr="004870C7">
              <w:rPr>
                <w:rFonts w:ascii="Calibri" w:hAnsi="Calibri" w:cs="Calibri"/>
                <w:iCs/>
                <w:sz w:val="20"/>
                <w:szCs w:val="20"/>
                <w:lang w:eastAsia="zh-CN"/>
              </w:rPr>
              <w:t>takeholder consultation workshops and outreach activities on climate change mitigation policies and measures, including gender awareness training</w:t>
            </w:r>
            <w:r>
              <w:rPr>
                <w:rFonts w:ascii="Calibri" w:hAnsi="Calibri" w:cs="Calibri"/>
                <w:iCs/>
                <w:sz w:val="20"/>
                <w:szCs w:val="20"/>
                <w:lang w:eastAsia="zh-CN"/>
              </w:rPr>
              <w:t>s.</w:t>
            </w:r>
          </w:p>
        </w:tc>
      </w:tr>
      <w:tr w:rsidR="00A11744" w:rsidRPr="004870C7" w14:paraId="76A340D3" w14:textId="77777777" w:rsidTr="00A11744">
        <w:tc>
          <w:tcPr>
            <w:tcW w:w="2029" w:type="dxa"/>
            <w:tcBorders>
              <w:top w:val="single" w:sz="4" w:space="0" w:color="auto"/>
              <w:left w:val="single" w:sz="4" w:space="0" w:color="auto"/>
              <w:bottom w:val="single" w:sz="4" w:space="0" w:color="auto"/>
              <w:right w:val="single" w:sz="4" w:space="0" w:color="auto"/>
            </w:tcBorders>
          </w:tcPr>
          <w:p w14:paraId="3F4A6A8F" w14:textId="76682098" w:rsidR="00A11744" w:rsidRPr="004870C7" w:rsidRDefault="00C84852" w:rsidP="00FB08FB">
            <w:pPr>
              <w:spacing w:after="0"/>
              <w:jc w:val="left"/>
              <w:rPr>
                <w:i/>
                <w:szCs w:val="20"/>
              </w:rPr>
            </w:pPr>
            <w:r w:rsidRPr="00764340">
              <w:rPr>
                <w:i/>
                <w:szCs w:val="20"/>
              </w:rPr>
              <w:t xml:space="preserve">Mitigation </w:t>
            </w:r>
            <w:r w:rsidR="004870C7" w:rsidRPr="00764340">
              <w:rPr>
                <w:i/>
                <w:szCs w:val="20"/>
              </w:rPr>
              <w:t>E</w:t>
            </w:r>
            <w:r w:rsidR="009C49F3" w:rsidRPr="00764340">
              <w:rPr>
                <w:i/>
                <w:szCs w:val="20"/>
              </w:rPr>
              <w:t>xperts</w:t>
            </w:r>
            <w:r w:rsidR="00764340" w:rsidRPr="00764340">
              <w:rPr>
                <w:i/>
                <w:szCs w:val="20"/>
              </w:rPr>
              <w:t xml:space="preserve"> - national</w:t>
            </w:r>
          </w:p>
          <w:p w14:paraId="4273D79A" w14:textId="77777777" w:rsidR="00C84852" w:rsidRPr="004870C7" w:rsidRDefault="00C84852" w:rsidP="00FB08FB">
            <w:pPr>
              <w:spacing w:after="0"/>
              <w:jc w:val="left"/>
              <w:rPr>
                <w:i/>
                <w:szCs w:val="20"/>
              </w:rPr>
            </w:pPr>
          </w:p>
          <w:p w14:paraId="42B08F12" w14:textId="7A037986" w:rsidR="00C84852" w:rsidRPr="004870C7" w:rsidRDefault="00C84852" w:rsidP="00FB08FB">
            <w:pPr>
              <w:spacing w:after="0"/>
              <w:jc w:val="left"/>
              <w:rPr>
                <w:i/>
                <w:szCs w:val="20"/>
              </w:rPr>
            </w:pPr>
            <w:r w:rsidRPr="004870C7">
              <w:rPr>
                <w:i/>
                <w:szCs w:val="20"/>
              </w:rPr>
              <w:t>Rate: app. 150 working days/150 USD, for a period of three years</w:t>
            </w:r>
          </w:p>
        </w:tc>
        <w:tc>
          <w:tcPr>
            <w:tcW w:w="1374" w:type="dxa"/>
            <w:tcBorders>
              <w:top w:val="single" w:sz="4" w:space="0" w:color="auto"/>
              <w:left w:val="single" w:sz="4" w:space="0" w:color="auto"/>
              <w:bottom w:val="single" w:sz="4" w:space="0" w:color="auto"/>
              <w:right w:val="single" w:sz="4" w:space="0" w:color="auto"/>
            </w:tcBorders>
          </w:tcPr>
          <w:p w14:paraId="0A6D7B69" w14:textId="77777777" w:rsidR="00A11744" w:rsidRPr="004870C7" w:rsidRDefault="00A11744"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7B0CA8B5" w14:textId="217062DB" w:rsidR="009C49F3" w:rsidRPr="004870C7" w:rsidRDefault="009C49F3" w:rsidP="009C49F3">
            <w:pPr>
              <w:pStyle w:val="ListParagraph"/>
              <w:numPr>
                <w:ilvl w:val="0"/>
                <w:numId w:val="46"/>
              </w:numPr>
              <w:ind w:left="408"/>
              <w:rPr>
                <w:rFonts w:ascii="Calibri" w:hAnsi="Calibri" w:cs="Calibri"/>
                <w:iCs/>
                <w:sz w:val="20"/>
                <w:szCs w:val="20"/>
                <w:lang w:eastAsia="zh-CN"/>
              </w:rPr>
            </w:pPr>
            <w:r w:rsidRPr="004870C7">
              <w:rPr>
                <w:rFonts w:ascii="Calibri" w:hAnsi="Calibri" w:cs="Calibri"/>
                <w:iCs/>
                <w:sz w:val="20"/>
                <w:szCs w:val="20"/>
                <w:lang w:eastAsia="zh-CN"/>
              </w:rPr>
              <w:t>Provide t</w:t>
            </w:r>
            <w:r w:rsidR="00C84852" w:rsidRPr="004870C7">
              <w:rPr>
                <w:rFonts w:ascii="Calibri" w:hAnsi="Calibri" w:cs="Calibri"/>
                <w:iCs/>
                <w:sz w:val="20"/>
                <w:szCs w:val="20"/>
                <w:lang w:eastAsia="zh-CN"/>
              </w:rPr>
              <w:t xml:space="preserve">echnical advisory services in the area of climate change mitigation </w:t>
            </w:r>
          </w:p>
          <w:p w14:paraId="09D0800A" w14:textId="14C12460" w:rsidR="009C49F3" w:rsidRPr="004870C7" w:rsidRDefault="009C49F3" w:rsidP="009C49F3">
            <w:pPr>
              <w:pStyle w:val="ListParagraph"/>
              <w:numPr>
                <w:ilvl w:val="0"/>
                <w:numId w:val="46"/>
              </w:numPr>
              <w:ind w:left="408"/>
              <w:rPr>
                <w:rFonts w:ascii="Calibri" w:hAnsi="Calibri" w:cs="Calibri"/>
                <w:iCs/>
                <w:sz w:val="20"/>
                <w:szCs w:val="20"/>
                <w:lang w:eastAsia="zh-CN"/>
              </w:rPr>
            </w:pPr>
            <w:r w:rsidRPr="004870C7">
              <w:rPr>
                <w:rFonts w:ascii="Calibri" w:hAnsi="Calibri" w:cs="Calibri"/>
                <w:iCs/>
                <w:sz w:val="20"/>
                <w:szCs w:val="20"/>
                <w:lang w:eastAsia="zh-CN"/>
              </w:rPr>
              <w:t>Review mitigation measures with highest mitigation potential</w:t>
            </w:r>
          </w:p>
          <w:p w14:paraId="4766DDE5" w14:textId="48263DA6" w:rsidR="009C49F3" w:rsidRPr="004870C7" w:rsidRDefault="009C49F3" w:rsidP="009C49F3">
            <w:pPr>
              <w:pStyle w:val="ListParagraph"/>
              <w:numPr>
                <w:ilvl w:val="0"/>
                <w:numId w:val="46"/>
              </w:numPr>
              <w:ind w:left="408"/>
              <w:rPr>
                <w:rFonts w:ascii="Calibri" w:hAnsi="Calibri" w:cs="Calibri"/>
                <w:iCs/>
                <w:sz w:val="20"/>
                <w:szCs w:val="20"/>
                <w:lang w:eastAsia="zh-CN"/>
              </w:rPr>
            </w:pPr>
            <w:r w:rsidRPr="004870C7">
              <w:rPr>
                <w:rFonts w:ascii="Calibri" w:hAnsi="Calibri" w:cs="Calibri"/>
                <w:iCs/>
                <w:sz w:val="20"/>
                <w:szCs w:val="20"/>
                <w:lang w:eastAsia="zh-CN"/>
              </w:rPr>
              <w:t xml:space="preserve">Develop </w:t>
            </w:r>
            <w:r w:rsidR="004870C7" w:rsidRPr="004870C7">
              <w:rPr>
                <w:rFonts w:ascii="Calibri" w:hAnsi="Calibri" w:cs="Calibri"/>
                <w:iCs/>
                <w:sz w:val="20"/>
                <w:szCs w:val="20"/>
                <w:lang w:eastAsia="zh-CN"/>
              </w:rPr>
              <w:t xml:space="preserve">GHG emissions projections in the main emission sectors (Energy, IPPU, AFOLU and Waste) along with sectoral cost-effectiveness analysis using the most suitable GHG forecast software </w:t>
            </w:r>
            <w:r w:rsidRPr="004870C7">
              <w:rPr>
                <w:rFonts w:ascii="Calibri" w:hAnsi="Calibri" w:cs="Calibri"/>
                <w:iCs/>
                <w:sz w:val="20"/>
                <w:szCs w:val="20"/>
                <w:lang w:eastAsia="zh-CN"/>
              </w:rPr>
              <w:t>GHG emi</w:t>
            </w:r>
            <w:r w:rsidR="004870C7">
              <w:rPr>
                <w:rFonts w:ascii="Calibri" w:hAnsi="Calibri" w:cs="Calibri"/>
                <w:iCs/>
                <w:sz w:val="20"/>
                <w:szCs w:val="20"/>
                <w:lang w:eastAsia="zh-CN"/>
              </w:rPr>
              <w:t>s</w:t>
            </w:r>
            <w:r w:rsidRPr="004870C7">
              <w:rPr>
                <w:rFonts w:ascii="Calibri" w:hAnsi="Calibri" w:cs="Calibri"/>
                <w:iCs/>
                <w:sz w:val="20"/>
                <w:szCs w:val="20"/>
                <w:lang w:eastAsia="zh-CN"/>
              </w:rPr>
              <w:t>sion</w:t>
            </w:r>
            <w:r w:rsidR="004870C7">
              <w:rPr>
                <w:rFonts w:ascii="Calibri" w:hAnsi="Calibri" w:cs="Calibri"/>
                <w:iCs/>
                <w:sz w:val="20"/>
                <w:szCs w:val="20"/>
                <w:lang w:eastAsia="zh-CN"/>
              </w:rPr>
              <w:t>s</w:t>
            </w:r>
            <w:r w:rsidRPr="004870C7">
              <w:rPr>
                <w:rFonts w:ascii="Calibri" w:hAnsi="Calibri" w:cs="Calibri"/>
                <w:iCs/>
                <w:sz w:val="20"/>
                <w:szCs w:val="20"/>
                <w:lang w:eastAsia="zh-CN"/>
              </w:rPr>
              <w:t xml:space="preserve"> </w:t>
            </w:r>
          </w:p>
          <w:p w14:paraId="300CA98D" w14:textId="77777777" w:rsidR="00B64B69" w:rsidRDefault="004870C7" w:rsidP="009C49F3">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 xml:space="preserve">Provide </w:t>
            </w:r>
            <w:r w:rsidRPr="004870C7">
              <w:rPr>
                <w:rFonts w:ascii="Calibri" w:hAnsi="Calibri" w:cs="Calibri"/>
                <w:iCs/>
                <w:sz w:val="20"/>
                <w:szCs w:val="20"/>
                <w:lang w:eastAsia="zh-CN"/>
              </w:rPr>
              <w:t xml:space="preserve">information on NDC/mitigation actions and their effects, including associated methodologies and assumptions as well as proposal of long-term (until 2040) mitigation possibilities </w:t>
            </w:r>
          </w:p>
          <w:p w14:paraId="7C7D505C" w14:textId="39954F36" w:rsidR="004870C7" w:rsidRDefault="004870C7" w:rsidP="009C49F3">
            <w:pPr>
              <w:pStyle w:val="ListParagraph"/>
              <w:numPr>
                <w:ilvl w:val="0"/>
                <w:numId w:val="46"/>
              </w:numPr>
              <w:ind w:left="408"/>
              <w:rPr>
                <w:rFonts w:ascii="Calibri" w:hAnsi="Calibri" w:cs="Calibri"/>
                <w:iCs/>
                <w:sz w:val="20"/>
                <w:szCs w:val="20"/>
                <w:lang w:eastAsia="zh-CN"/>
              </w:rPr>
            </w:pPr>
            <w:r w:rsidRPr="004870C7">
              <w:rPr>
                <w:rFonts w:ascii="Calibri" w:hAnsi="Calibri" w:cs="Calibri"/>
                <w:iCs/>
                <w:sz w:val="20"/>
                <w:szCs w:val="20"/>
                <w:lang w:eastAsia="zh-CN"/>
              </w:rPr>
              <w:t xml:space="preserve">Provide information on NDC implementation and track NDC progress </w:t>
            </w:r>
          </w:p>
          <w:p w14:paraId="1AA93087" w14:textId="77777777" w:rsidR="00B64B69" w:rsidRDefault="00B64B69" w:rsidP="004870C7">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Develop r</w:t>
            </w:r>
            <w:r w:rsidRPr="004870C7">
              <w:rPr>
                <w:rFonts w:ascii="Calibri" w:hAnsi="Calibri" w:cs="Calibri"/>
                <w:iCs/>
                <w:sz w:val="20"/>
                <w:szCs w:val="20"/>
                <w:lang w:eastAsia="zh-CN"/>
              </w:rPr>
              <w:t>oadmap for NDC3 implementation up to 2030</w:t>
            </w:r>
          </w:p>
          <w:p w14:paraId="0305F675" w14:textId="77777777" w:rsidR="00B64B69" w:rsidRDefault="00B64B69" w:rsidP="004870C7">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Provide expert inputs for the s</w:t>
            </w:r>
            <w:r w:rsidRPr="004870C7">
              <w:rPr>
                <w:rFonts w:ascii="Calibri" w:hAnsi="Calibri" w:cs="Calibri"/>
                <w:iCs/>
                <w:sz w:val="20"/>
                <w:szCs w:val="20"/>
                <w:lang w:eastAsia="zh-CN"/>
              </w:rPr>
              <w:t>takeholder consultation workshops and outreach activities on climate change mitigation policies and measures, including gender awareness training</w:t>
            </w:r>
            <w:r>
              <w:rPr>
                <w:rFonts w:ascii="Calibri" w:hAnsi="Calibri" w:cs="Calibri"/>
                <w:iCs/>
                <w:sz w:val="20"/>
                <w:szCs w:val="20"/>
                <w:lang w:eastAsia="zh-CN"/>
              </w:rPr>
              <w:t>s</w:t>
            </w:r>
          </w:p>
          <w:p w14:paraId="36A8BBB4" w14:textId="13BCAF9A" w:rsidR="00B64B69" w:rsidRDefault="00B64B69" w:rsidP="004870C7">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 xml:space="preserve">Assess </w:t>
            </w:r>
            <w:r w:rsidR="004870C7" w:rsidRPr="004870C7">
              <w:rPr>
                <w:rFonts w:ascii="Calibri" w:hAnsi="Calibri" w:cs="Calibri"/>
                <w:iCs/>
                <w:sz w:val="20"/>
                <w:szCs w:val="20"/>
                <w:lang w:eastAsia="zh-CN"/>
              </w:rPr>
              <w:t>role</w:t>
            </w:r>
            <w:r>
              <w:rPr>
                <w:rFonts w:ascii="Calibri" w:hAnsi="Calibri" w:cs="Calibri"/>
                <w:iCs/>
                <w:sz w:val="20"/>
                <w:szCs w:val="20"/>
                <w:lang w:eastAsia="zh-CN"/>
              </w:rPr>
              <w:t>s</w:t>
            </w:r>
            <w:r w:rsidR="004870C7" w:rsidRPr="004870C7">
              <w:rPr>
                <w:rFonts w:ascii="Calibri" w:hAnsi="Calibri" w:cs="Calibri"/>
                <w:iCs/>
                <w:sz w:val="20"/>
                <w:szCs w:val="20"/>
                <w:lang w:eastAsia="zh-CN"/>
              </w:rPr>
              <w:t xml:space="preserve"> of women and men in mitigation policies and measures and include</w:t>
            </w:r>
            <w:r>
              <w:rPr>
                <w:rFonts w:ascii="Calibri" w:hAnsi="Calibri" w:cs="Calibri"/>
                <w:iCs/>
                <w:sz w:val="20"/>
                <w:szCs w:val="20"/>
                <w:lang w:eastAsia="zh-CN"/>
              </w:rPr>
              <w:t xml:space="preserve"> them</w:t>
            </w:r>
            <w:r w:rsidR="004870C7" w:rsidRPr="004870C7">
              <w:rPr>
                <w:rFonts w:ascii="Calibri" w:hAnsi="Calibri" w:cs="Calibri"/>
                <w:iCs/>
                <w:sz w:val="20"/>
                <w:szCs w:val="20"/>
                <w:lang w:eastAsia="zh-CN"/>
              </w:rPr>
              <w:t xml:space="preserve"> in the report </w:t>
            </w:r>
          </w:p>
          <w:p w14:paraId="252424C4" w14:textId="4501675C" w:rsidR="00A11744" w:rsidRPr="00B64B69" w:rsidRDefault="00B64B69" w:rsidP="00B64B69">
            <w:pPr>
              <w:pStyle w:val="ListParagraph"/>
              <w:numPr>
                <w:ilvl w:val="0"/>
                <w:numId w:val="46"/>
              </w:numPr>
              <w:ind w:left="408"/>
              <w:rPr>
                <w:rFonts w:ascii="Calibri" w:hAnsi="Calibri" w:cs="Calibri"/>
                <w:iCs/>
                <w:sz w:val="20"/>
                <w:szCs w:val="20"/>
                <w:lang w:eastAsia="zh-CN"/>
              </w:rPr>
            </w:pPr>
            <w:r>
              <w:rPr>
                <w:rFonts w:ascii="Calibri" w:hAnsi="Calibri" w:cs="Calibri"/>
                <w:iCs/>
                <w:sz w:val="20"/>
                <w:szCs w:val="20"/>
                <w:lang w:eastAsia="zh-CN"/>
              </w:rPr>
              <w:t xml:space="preserve">Provide </w:t>
            </w:r>
            <w:r w:rsidR="004870C7" w:rsidRPr="004870C7">
              <w:rPr>
                <w:rFonts w:ascii="Calibri" w:hAnsi="Calibri" w:cs="Calibri"/>
                <w:iCs/>
                <w:sz w:val="20"/>
                <w:szCs w:val="20"/>
                <w:lang w:eastAsia="zh-CN"/>
              </w:rPr>
              <w:t xml:space="preserve">recommendations to ensure gender mainstreaming in planning and implementation of climate change mitigation policies </w:t>
            </w:r>
            <w:r>
              <w:rPr>
                <w:rFonts w:ascii="Calibri" w:hAnsi="Calibri" w:cs="Calibri"/>
                <w:iCs/>
                <w:sz w:val="20"/>
                <w:szCs w:val="20"/>
                <w:lang w:eastAsia="zh-CN"/>
              </w:rPr>
              <w:t>and</w:t>
            </w:r>
            <w:r w:rsidR="004870C7" w:rsidRPr="004870C7">
              <w:rPr>
                <w:rFonts w:ascii="Calibri" w:hAnsi="Calibri" w:cs="Calibri"/>
                <w:iCs/>
                <w:sz w:val="20"/>
                <w:szCs w:val="20"/>
                <w:lang w:eastAsia="zh-CN"/>
              </w:rPr>
              <w:t xml:space="preserve"> measures</w:t>
            </w:r>
            <w:r>
              <w:rPr>
                <w:rFonts w:ascii="Calibri" w:hAnsi="Calibri" w:cs="Calibri"/>
                <w:iCs/>
                <w:sz w:val="20"/>
                <w:szCs w:val="20"/>
                <w:lang w:eastAsia="zh-CN"/>
              </w:rPr>
              <w:t>.</w:t>
            </w:r>
          </w:p>
        </w:tc>
      </w:tr>
      <w:tr w:rsidR="009C49F3" w:rsidRPr="004870C7" w14:paraId="46A7E41E" w14:textId="77777777" w:rsidTr="00752B12">
        <w:tc>
          <w:tcPr>
            <w:tcW w:w="14022" w:type="dxa"/>
            <w:gridSpan w:val="3"/>
            <w:tcBorders>
              <w:top w:val="single" w:sz="4" w:space="0" w:color="auto"/>
              <w:left w:val="single" w:sz="4" w:space="0" w:color="auto"/>
              <w:bottom w:val="single" w:sz="4" w:space="0" w:color="auto"/>
              <w:right w:val="single" w:sz="4" w:space="0" w:color="auto"/>
            </w:tcBorders>
          </w:tcPr>
          <w:p w14:paraId="66CC4CB7" w14:textId="0B7805B7" w:rsidR="009C49F3" w:rsidRPr="004870C7" w:rsidRDefault="009C49F3" w:rsidP="009C49F3">
            <w:pPr>
              <w:spacing w:after="0"/>
              <w:jc w:val="center"/>
              <w:rPr>
                <w:rFonts w:cs="Arial"/>
                <w:b/>
                <w:bCs/>
                <w:i/>
                <w:szCs w:val="20"/>
                <w:lang w:eastAsia="zh-CN"/>
              </w:rPr>
            </w:pPr>
            <w:r w:rsidRPr="004870C7">
              <w:rPr>
                <w:rFonts w:cs="Arial"/>
                <w:b/>
                <w:bCs/>
                <w:i/>
                <w:szCs w:val="20"/>
                <w:lang w:eastAsia="zh-CN"/>
              </w:rPr>
              <w:t>Component 4</w:t>
            </w:r>
            <w:r w:rsidR="004870C7">
              <w:rPr>
                <w:rFonts w:cs="Arial"/>
                <w:b/>
                <w:bCs/>
                <w:i/>
                <w:szCs w:val="20"/>
                <w:lang w:eastAsia="zh-CN"/>
              </w:rPr>
              <w:t>: Climate Change Impacts and Adaptation</w:t>
            </w:r>
          </w:p>
        </w:tc>
      </w:tr>
      <w:tr w:rsidR="00764340" w:rsidRPr="004870C7" w14:paraId="794AA1D0" w14:textId="77777777" w:rsidTr="00A11744">
        <w:tc>
          <w:tcPr>
            <w:tcW w:w="2029" w:type="dxa"/>
            <w:tcBorders>
              <w:top w:val="single" w:sz="4" w:space="0" w:color="auto"/>
              <w:left w:val="single" w:sz="4" w:space="0" w:color="auto"/>
              <w:bottom w:val="single" w:sz="4" w:space="0" w:color="auto"/>
              <w:right w:val="single" w:sz="4" w:space="0" w:color="auto"/>
            </w:tcBorders>
          </w:tcPr>
          <w:p w14:paraId="14FFF54A" w14:textId="77777777" w:rsidR="00764340" w:rsidRPr="00C7657B" w:rsidRDefault="00764340" w:rsidP="00FB08FB">
            <w:pPr>
              <w:spacing w:after="0"/>
              <w:jc w:val="left"/>
              <w:rPr>
                <w:i/>
                <w:szCs w:val="20"/>
              </w:rPr>
            </w:pPr>
            <w:r w:rsidRPr="00C7657B">
              <w:rPr>
                <w:i/>
                <w:szCs w:val="20"/>
              </w:rPr>
              <w:t>Adaptation experts – international</w:t>
            </w:r>
          </w:p>
          <w:p w14:paraId="3E5EEE62" w14:textId="77777777" w:rsidR="00764340" w:rsidRDefault="00764340" w:rsidP="00FB08FB">
            <w:pPr>
              <w:spacing w:after="0"/>
              <w:jc w:val="left"/>
              <w:rPr>
                <w:i/>
                <w:szCs w:val="20"/>
                <w:highlight w:val="yellow"/>
              </w:rPr>
            </w:pPr>
          </w:p>
          <w:p w14:paraId="3655DF85" w14:textId="0DBA2533" w:rsidR="00764340" w:rsidRPr="004870C7" w:rsidRDefault="00764340" w:rsidP="00FB08FB">
            <w:pPr>
              <w:spacing w:after="0"/>
              <w:jc w:val="left"/>
              <w:rPr>
                <w:i/>
                <w:szCs w:val="20"/>
                <w:highlight w:val="yellow"/>
              </w:rPr>
            </w:pPr>
            <w:r w:rsidRPr="00764340">
              <w:rPr>
                <w:i/>
                <w:szCs w:val="20"/>
              </w:rPr>
              <w:t xml:space="preserve"> </w:t>
            </w:r>
            <w:r w:rsidRPr="00764340">
              <w:rPr>
                <w:bCs/>
                <w:i/>
                <w:szCs w:val="20"/>
              </w:rPr>
              <w:t>app. 80 working days/300 USD, for a period of three years</w:t>
            </w:r>
          </w:p>
        </w:tc>
        <w:tc>
          <w:tcPr>
            <w:tcW w:w="1374" w:type="dxa"/>
            <w:tcBorders>
              <w:top w:val="single" w:sz="4" w:space="0" w:color="auto"/>
              <w:left w:val="single" w:sz="4" w:space="0" w:color="auto"/>
              <w:bottom w:val="single" w:sz="4" w:space="0" w:color="auto"/>
              <w:right w:val="single" w:sz="4" w:space="0" w:color="auto"/>
            </w:tcBorders>
          </w:tcPr>
          <w:p w14:paraId="176CB79A" w14:textId="77777777" w:rsidR="00764340" w:rsidRPr="004870C7" w:rsidRDefault="00764340"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07BDFC46" w14:textId="1261C001" w:rsidR="00764340" w:rsidRDefault="00764340"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Support in developing vulnerability analysis for the agreed sectors not covered by NAP</w:t>
            </w:r>
          </w:p>
          <w:p w14:paraId="0B199FA9" w14:textId="77777777" w:rsidR="00764340" w:rsidRDefault="00764340"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Provide technical expertise and guidance to the</w:t>
            </w:r>
            <w:r w:rsidRPr="00764340">
              <w:rPr>
                <w:rFonts w:ascii="Calibri" w:hAnsi="Calibri" w:cs="Calibri"/>
                <w:bCs/>
                <w:sz w:val="20"/>
                <w:szCs w:val="20"/>
                <w:lang w:eastAsia="zh-CN"/>
              </w:rPr>
              <w:t xml:space="preserve"> national consultants’ team </w:t>
            </w:r>
            <w:r>
              <w:rPr>
                <w:rFonts w:ascii="Calibri" w:hAnsi="Calibri" w:cs="Calibri"/>
                <w:bCs/>
                <w:sz w:val="20"/>
                <w:szCs w:val="20"/>
                <w:lang w:eastAsia="zh-CN"/>
              </w:rPr>
              <w:t>on developing climate scenarios</w:t>
            </w:r>
          </w:p>
          <w:p w14:paraId="2CFC1F27" w14:textId="77777777" w:rsidR="004A6734" w:rsidRDefault="00764340" w:rsidP="004A6734">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P</w:t>
            </w:r>
            <w:r w:rsidRPr="00764340">
              <w:rPr>
                <w:rFonts w:ascii="Calibri" w:hAnsi="Calibri" w:cs="Calibri"/>
                <w:bCs/>
                <w:sz w:val="20"/>
                <w:szCs w:val="20"/>
                <w:lang w:eastAsia="zh-CN"/>
              </w:rPr>
              <w:t>rovide necessary trainings</w:t>
            </w:r>
            <w:r w:rsidR="004A6734">
              <w:rPr>
                <w:rFonts w:ascii="Calibri" w:hAnsi="Calibri" w:cs="Calibri"/>
                <w:bCs/>
                <w:sz w:val="20"/>
                <w:szCs w:val="20"/>
                <w:lang w:eastAsia="zh-CN"/>
              </w:rPr>
              <w:t xml:space="preserve"> to</w:t>
            </w:r>
            <w:r>
              <w:rPr>
                <w:rFonts w:ascii="Calibri" w:hAnsi="Calibri" w:cs="Calibri"/>
                <w:bCs/>
                <w:sz w:val="20"/>
                <w:szCs w:val="20"/>
                <w:lang w:eastAsia="zh-CN"/>
              </w:rPr>
              <w:t xml:space="preserve"> relevant stakeholders </w:t>
            </w:r>
            <w:r w:rsidR="004A6734">
              <w:rPr>
                <w:rFonts w:ascii="Calibri" w:hAnsi="Calibri" w:cs="Calibri"/>
                <w:bCs/>
                <w:sz w:val="20"/>
                <w:szCs w:val="20"/>
                <w:lang w:eastAsia="zh-CN"/>
              </w:rPr>
              <w:t>to</w:t>
            </w:r>
            <w:r w:rsidR="004A6734" w:rsidRPr="004A6734">
              <w:rPr>
                <w:rFonts w:ascii="Calibri" w:hAnsi="Calibri" w:cs="Calibri"/>
                <w:bCs/>
                <w:sz w:val="20"/>
                <w:szCs w:val="20"/>
                <w:lang w:eastAsia="zh-CN"/>
              </w:rPr>
              <w:t xml:space="preserve"> understand the impact of climate change on public health and socio-economic conditions </w:t>
            </w:r>
          </w:p>
          <w:p w14:paraId="41F27B93" w14:textId="33DC1070" w:rsidR="004A6734" w:rsidRPr="004A6734" w:rsidRDefault="004A6734" w:rsidP="004A6734">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 xml:space="preserve">Provide guidance on finding </w:t>
            </w:r>
            <w:r w:rsidRPr="004A6734">
              <w:rPr>
                <w:rFonts w:ascii="Calibri" w:hAnsi="Calibri" w:cs="Calibri"/>
                <w:bCs/>
                <w:sz w:val="20"/>
                <w:szCs w:val="20"/>
                <w:lang w:eastAsia="zh-CN"/>
              </w:rPr>
              <w:t>the most equitable adaptation measures for different vulnerable groups.</w:t>
            </w:r>
          </w:p>
          <w:p w14:paraId="0144CF01" w14:textId="78B46DE4" w:rsidR="004A6734" w:rsidRPr="004870C7" w:rsidRDefault="004A6734" w:rsidP="004A6734">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Provide guidance and technical expertise in develop r</w:t>
            </w:r>
            <w:r w:rsidRPr="004870C7">
              <w:rPr>
                <w:rFonts w:ascii="Calibri" w:hAnsi="Calibri" w:cs="Calibri"/>
                <w:bCs/>
                <w:sz w:val="20"/>
                <w:szCs w:val="20"/>
                <w:lang w:eastAsia="zh-CN"/>
              </w:rPr>
              <w:t>oadmap for NDC3 implementation up to 2030, with elaborated adaptation component</w:t>
            </w:r>
            <w:r>
              <w:rPr>
                <w:rFonts w:ascii="Calibri" w:hAnsi="Calibri" w:cs="Calibri"/>
                <w:bCs/>
                <w:sz w:val="20"/>
                <w:szCs w:val="20"/>
                <w:lang w:eastAsia="zh-CN"/>
              </w:rPr>
              <w:t>.</w:t>
            </w:r>
          </w:p>
          <w:p w14:paraId="40CC50F5" w14:textId="1C6F5BD3" w:rsidR="00764340" w:rsidRDefault="00764340" w:rsidP="004870C7">
            <w:pPr>
              <w:pStyle w:val="ListParagraph"/>
              <w:numPr>
                <w:ilvl w:val="0"/>
                <w:numId w:val="47"/>
              </w:numPr>
              <w:ind w:left="408"/>
              <w:rPr>
                <w:rFonts w:ascii="Calibri" w:hAnsi="Calibri" w:cs="Calibri"/>
                <w:bCs/>
                <w:sz w:val="20"/>
                <w:szCs w:val="20"/>
                <w:lang w:eastAsia="zh-CN"/>
              </w:rPr>
            </w:pPr>
          </w:p>
        </w:tc>
      </w:tr>
      <w:tr w:rsidR="00A11744" w:rsidRPr="004870C7" w14:paraId="4905424A" w14:textId="77777777" w:rsidTr="00A11744">
        <w:tc>
          <w:tcPr>
            <w:tcW w:w="2029" w:type="dxa"/>
            <w:tcBorders>
              <w:top w:val="single" w:sz="4" w:space="0" w:color="auto"/>
              <w:left w:val="single" w:sz="4" w:space="0" w:color="auto"/>
              <w:bottom w:val="single" w:sz="4" w:space="0" w:color="auto"/>
              <w:right w:val="single" w:sz="4" w:space="0" w:color="auto"/>
            </w:tcBorders>
          </w:tcPr>
          <w:p w14:paraId="7E5B2BE2" w14:textId="2CD88BE8" w:rsidR="00A11744" w:rsidRDefault="009C49F3" w:rsidP="00FB08FB">
            <w:pPr>
              <w:spacing w:after="0"/>
              <w:jc w:val="left"/>
              <w:rPr>
                <w:i/>
                <w:szCs w:val="20"/>
              </w:rPr>
            </w:pPr>
            <w:r w:rsidRPr="00764340">
              <w:rPr>
                <w:i/>
                <w:szCs w:val="20"/>
              </w:rPr>
              <w:lastRenderedPageBreak/>
              <w:t xml:space="preserve">Adaptation </w:t>
            </w:r>
            <w:r w:rsidR="004870C7" w:rsidRPr="00764340">
              <w:rPr>
                <w:i/>
                <w:szCs w:val="20"/>
              </w:rPr>
              <w:t>E</w:t>
            </w:r>
            <w:r w:rsidRPr="00764340">
              <w:rPr>
                <w:i/>
                <w:szCs w:val="20"/>
              </w:rPr>
              <w:t>xperts</w:t>
            </w:r>
            <w:r w:rsidR="00764340" w:rsidRPr="00764340">
              <w:rPr>
                <w:i/>
                <w:szCs w:val="20"/>
              </w:rPr>
              <w:t xml:space="preserve"> - national</w:t>
            </w:r>
          </w:p>
          <w:p w14:paraId="06A98AA4" w14:textId="77777777" w:rsidR="004870C7" w:rsidRDefault="004870C7" w:rsidP="00FB08FB">
            <w:pPr>
              <w:spacing w:after="0"/>
              <w:jc w:val="left"/>
              <w:rPr>
                <w:i/>
                <w:szCs w:val="20"/>
              </w:rPr>
            </w:pPr>
          </w:p>
          <w:p w14:paraId="1DC74280" w14:textId="5A500F73" w:rsidR="004870C7" w:rsidRPr="004870C7" w:rsidRDefault="004870C7" w:rsidP="00FB08FB">
            <w:pPr>
              <w:spacing w:after="0"/>
              <w:jc w:val="left"/>
              <w:rPr>
                <w:i/>
                <w:szCs w:val="20"/>
              </w:rPr>
            </w:pPr>
            <w:r>
              <w:rPr>
                <w:i/>
                <w:szCs w:val="20"/>
              </w:rPr>
              <w:t>Rate: app. 210 working days/150 USD for a period of three years</w:t>
            </w:r>
          </w:p>
        </w:tc>
        <w:tc>
          <w:tcPr>
            <w:tcW w:w="1374" w:type="dxa"/>
            <w:tcBorders>
              <w:top w:val="single" w:sz="4" w:space="0" w:color="auto"/>
              <w:left w:val="single" w:sz="4" w:space="0" w:color="auto"/>
              <w:bottom w:val="single" w:sz="4" w:space="0" w:color="auto"/>
              <w:right w:val="single" w:sz="4" w:space="0" w:color="auto"/>
            </w:tcBorders>
          </w:tcPr>
          <w:p w14:paraId="004EF8AD" w14:textId="77777777" w:rsidR="00A11744" w:rsidRPr="004870C7" w:rsidRDefault="00A11744" w:rsidP="00FB08FB">
            <w:pPr>
              <w:rPr>
                <w:i/>
                <w:szCs w:val="20"/>
                <w:lang w:eastAsia="ja-JP"/>
              </w:rPr>
            </w:pPr>
          </w:p>
        </w:tc>
        <w:tc>
          <w:tcPr>
            <w:tcW w:w="10619" w:type="dxa"/>
            <w:tcBorders>
              <w:top w:val="single" w:sz="4" w:space="0" w:color="auto"/>
              <w:left w:val="single" w:sz="4" w:space="0" w:color="auto"/>
              <w:bottom w:val="single" w:sz="4" w:space="0" w:color="auto"/>
              <w:right w:val="single" w:sz="4" w:space="0" w:color="auto"/>
            </w:tcBorders>
          </w:tcPr>
          <w:p w14:paraId="54648D6C" w14:textId="12ECCC88" w:rsidR="004870C7" w:rsidRPr="004870C7" w:rsidRDefault="004870C7"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Identify c</w:t>
            </w:r>
            <w:r w:rsidRPr="004870C7">
              <w:rPr>
                <w:rFonts w:ascii="Calibri" w:hAnsi="Calibri" w:cs="Calibri"/>
                <w:bCs/>
                <w:sz w:val="20"/>
                <w:szCs w:val="20"/>
                <w:lang w:eastAsia="zh-CN"/>
              </w:rPr>
              <w:t xml:space="preserve">limate change risks and impacts on socio-economic development and </w:t>
            </w:r>
            <w:r>
              <w:rPr>
                <w:rFonts w:ascii="Calibri" w:hAnsi="Calibri" w:cs="Calibri"/>
                <w:bCs/>
                <w:sz w:val="20"/>
                <w:szCs w:val="20"/>
                <w:lang w:eastAsia="zh-CN"/>
              </w:rPr>
              <w:t xml:space="preserve">describe </w:t>
            </w:r>
            <w:r w:rsidRPr="004870C7">
              <w:rPr>
                <w:rFonts w:ascii="Calibri" w:hAnsi="Calibri" w:cs="Calibri"/>
                <w:bCs/>
                <w:sz w:val="20"/>
                <w:szCs w:val="20"/>
                <w:lang w:eastAsia="zh-CN"/>
              </w:rPr>
              <w:t xml:space="preserve">risk reduction opportunities </w:t>
            </w:r>
          </w:p>
          <w:p w14:paraId="309252A2" w14:textId="2717721A" w:rsidR="004870C7" w:rsidRPr="004870C7" w:rsidRDefault="004870C7"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Develop c</w:t>
            </w:r>
            <w:r w:rsidRPr="004870C7">
              <w:rPr>
                <w:rFonts w:ascii="Calibri" w:hAnsi="Calibri" w:cs="Calibri"/>
                <w:bCs/>
                <w:sz w:val="20"/>
                <w:szCs w:val="20"/>
                <w:lang w:eastAsia="zh-CN"/>
              </w:rPr>
              <w:t>limate change scenarios using appropriate climate models</w:t>
            </w:r>
          </w:p>
          <w:p w14:paraId="7878E7FD" w14:textId="615A9064" w:rsidR="004870C7" w:rsidRPr="004870C7" w:rsidRDefault="004870C7"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P</w:t>
            </w:r>
            <w:r w:rsidRPr="004870C7">
              <w:rPr>
                <w:rFonts w:ascii="Calibri" w:hAnsi="Calibri" w:cs="Calibri"/>
                <w:bCs/>
                <w:sz w:val="20"/>
                <w:szCs w:val="20"/>
                <w:lang w:eastAsia="zh-CN"/>
              </w:rPr>
              <w:t>ropos</w:t>
            </w:r>
            <w:r>
              <w:rPr>
                <w:rFonts w:ascii="Calibri" w:hAnsi="Calibri" w:cs="Calibri"/>
                <w:bCs/>
                <w:sz w:val="20"/>
                <w:szCs w:val="20"/>
                <w:lang w:eastAsia="zh-CN"/>
              </w:rPr>
              <w:t xml:space="preserve">e </w:t>
            </w:r>
            <w:r w:rsidRPr="004870C7">
              <w:rPr>
                <w:rFonts w:ascii="Calibri" w:hAnsi="Calibri" w:cs="Calibri"/>
                <w:bCs/>
                <w:sz w:val="20"/>
                <w:szCs w:val="20"/>
                <w:lang w:eastAsia="zh-CN"/>
              </w:rPr>
              <w:t>relevant adaptation measures in the sectors not covered by NAP, such as infrastructure, settlement/housing, rural areas, mountains, food security and hydro-electricity and identification of potential impacts such as those due to heat waves, water resources scarcity, flooding, forest fires, among others conducted.</w:t>
            </w:r>
          </w:p>
          <w:p w14:paraId="5168DEA1" w14:textId="6A6223C4" w:rsidR="004870C7" w:rsidRPr="004870C7" w:rsidRDefault="004870C7" w:rsidP="004870C7">
            <w:pPr>
              <w:pStyle w:val="ListParagraph"/>
              <w:numPr>
                <w:ilvl w:val="0"/>
                <w:numId w:val="47"/>
              </w:numPr>
              <w:ind w:left="408"/>
              <w:rPr>
                <w:rFonts w:ascii="Calibri" w:hAnsi="Calibri" w:cs="Calibri"/>
                <w:bCs/>
                <w:sz w:val="20"/>
                <w:szCs w:val="20"/>
                <w:lang w:eastAsia="zh-CN"/>
              </w:rPr>
            </w:pPr>
            <w:r w:rsidRPr="004870C7">
              <w:rPr>
                <w:rFonts w:ascii="Calibri" w:hAnsi="Calibri" w:cs="Calibri"/>
                <w:bCs/>
                <w:sz w:val="20"/>
                <w:szCs w:val="20"/>
                <w:lang w:eastAsia="zh-CN"/>
              </w:rPr>
              <w:t>Updated adaptation measures along with risk assessment for the most vulnerable sectors, incl. cost-benefit analysis, loss and damage issues, synergy between mitigation and adaptation and plan for the effective implementation of measures to adapt to climate change developed.</w:t>
            </w:r>
          </w:p>
          <w:p w14:paraId="3F319AEF" w14:textId="0D44FC0D" w:rsidR="004870C7" w:rsidRPr="004870C7" w:rsidRDefault="004870C7" w:rsidP="004870C7">
            <w:pPr>
              <w:pStyle w:val="ListParagraph"/>
              <w:numPr>
                <w:ilvl w:val="0"/>
                <w:numId w:val="47"/>
              </w:numPr>
              <w:ind w:left="408"/>
              <w:rPr>
                <w:rFonts w:ascii="Calibri" w:hAnsi="Calibri" w:cs="Calibri"/>
                <w:bCs/>
                <w:sz w:val="20"/>
                <w:szCs w:val="20"/>
                <w:lang w:eastAsia="zh-CN"/>
              </w:rPr>
            </w:pPr>
            <w:r>
              <w:rPr>
                <w:rFonts w:ascii="Calibri" w:hAnsi="Calibri" w:cs="Calibri"/>
                <w:bCs/>
                <w:sz w:val="20"/>
                <w:szCs w:val="20"/>
                <w:lang w:eastAsia="zh-CN"/>
              </w:rPr>
              <w:t>Develop r</w:t>
            </w:r>
            <w:r w:rsidRPr="004870C7">
              <w:rPr>
                <w:rFonts w:ascii="Calibri" w:hAnsi="Calibri" w:cs="Calibri"/>
                <w:bCs/>
                <w:sz w:val="20"/>
                <w:szCs w:val="20"/>
                <w:lang w:eastAsia="zh-CN"/>
              </w:rPr>
              <w:t>oadmap for NDC3 implementation up to 2030, with elaborated adaptation component prepared</w:t>
            </w:r>
          </w:p>
          <w:p w14:paraId="6D11917F" w14:textId="2A8630DA" w:rsidR="004870C7" w:rsidRPr="004870C7" w:rsidRDefault="004870C7" w:rsidP="004870C7">
            <w:pPr>
              <w:pStyle w:val="ListParagraph"/>
              <w:numPr>
                <w:ilvl w:val="0"/>
                <w:numId w:val="47"/>
              </w:numPr>
              <w:ind w:left="408"/>
              <w:rPr>
                <w:rFonts w:ascii="Calibri" w:hAnsi="Calibri" w:cs="Calibri"/>
                <w:bCs/>
                <w:sz w:val="20"/>
                <w:szCs w:val="20"/>
                <w:lang w:eastAsia="zh-CN"/>
              </w:rPr>
            </w:pPr>
            <w:r w:rsidRPr="004870C7">
              <w:rPr>
                <w:rFonts w:ascii="Calibri" w:hAnsi="Calibri" w:cs="Calibri"/>
                <w:bCs/>
                <w:sz w:val="20"/>
                <w:szCs w:val="20"/>
                <w:lang w:eastAsia="zh-CN"/>
              </w:rPr>
              <w:t>Public engagement to understand the impact of climate change on public health and socio-economic conditions and to find the most equitable adaptation measures for different vulnerable groups.</w:t>
            </w:r>
          </w:p>
          <w:p w14:paraId="70A6C5F5" w14:textId="77777777" w:rsidR="00A11744" w:rsidRPr="004870C7" w:rsidRDefault="00A11744" w:rsidP="00FB08FB">
            <w:pPr>
              <w:spacing w:after="0"/>
              <w:rPr>
                <w:rFonts w:cs="Arial"/>
                <w:i/>
                <w:szCs w:val="20"/>
                <w:u w:val="single"/>
                <w:lang w:eastAsia="zh-CN"/>
              </w:rPr>
            </w:pPr>
          </w:p>
        </w:tc>
      </w:tr>
    </w:tbl>
    <w:p w14:paraId="1875D838" w14:textId="77777777" w:rsidR="001E60AC" w:rsidRPr="004870C7" w:rsidRDefault="001E60AC">
      <w:pPr>
        <w:spacing w:after="0"/>
        <w:jc w:val="left"/>
      </w:pPr>
    </w:p>
    <w:p w14:paraId="73CA9417" w14:textId="77777777" w:rsidR="001E60AC" w:rsidRPr="004870C7" w:rsidRDefault="001E60AC">
      <w:pPr>
        <w:spacing w:after="0"/>
        <w:jc w:val="left"/>
        <w:sectPr w:rsidR="001E60AC" w:rsidRPr="004870C7" w:rsidSect="0079717A">
          <w:pgSz w:w="15840" w:h="12240" w:orient="landscape" w:code="1"/>
          <w:pgMar w:top="1440" w:right="1440" w:bottom="1440" w:left="1440" w:header="720" w:footer="720" w:gutter="0"/>
          <w:cols w:space="720"/>
          <w:docGrid w:linePitch="360"/>
        </w:sectPr>
      </w:pPr>
    </w:p>
    <w:p w14:paraId="72323E2A" w14:textId="61E71228" w:rsidR="00EA1F5A" w:rsidRPr="004870C7" w:rsidRDefault="00EA1F5A" w:rsidP="00EA1F5A">
      <w:pPr>
        <w:pStyle w:val="Heading2"/>
        <w:ind w:left="0"/>
        <w:rPr>
          <w:rFonts w:ascii="Calibri" w:hAnsi="Calibri"/>
          <w:szCs w:val="22"/>
        </w:rPr>
      </w:pPr>
      <w:bookmarkStart w:id="34" w:name="_Toc75965564"/>
      <w:r w:rsidRPr="004870C7">
        <w:rPr>
          <w:rFonts w:ascii="Calibri" w:hAnsi="Calibri"/>
          <w:szCs w:val="22"/>
        </w:rPr>
        <w:lastRenderedPageBreak/>
        <w:t xml:space="preserve">Annex </w:t>
      </w:r>
      <w:r w:rsidR="00577B0B" w:rsidRPr="004870C7">
        <w:rPr>
          <w:rFonts w:ascii="Calibri" w:hAnsi="Calibri"/>
          <w:szCs w:val="22"/>
        </w:rPr>
        <w:t>8</w:t>
      </w:r>
      <w:r w:rsidRPr="004870C7">
        <w:rPr>
          <w:rFonts w:ascii="Calibri" w:hAnsi="Calibri"/>
          <w:szCs w:val="22"/>
        </w:rPr>
        <w:t>:  Stakeholder Engagement Plan</w:t>
      </w:r>
      <w:bookmarkEnd w:id="34"/>
      <w:r w:rsidRPr="004870C7">
        <w:rPr>
          <w:rFonts w:ascii="Calibri" w:hAnsi="Calibri"/>
          <w:szCs w:val="22"/>
        </w:rPr>
        <w:t xml:space="preserve"> </w:t>
      </w:r>
    </w:p>
    <w:p w14:paraId="3D9D88B0" w14:textId="483F7CFD" w:rsidR="00B83D17" w:rsidRPr="004870C7" w:rsidRDefault="00B83D17" w:rsidP="00EA1F5A">
      <w:pPr>
        <w:spacing w:after="0"/>
        <w:jc w:val="left"/>
        <w:rPr>
          <w:bCs/>
          <w:iCs/>
          <w:szCs w:val="20"/>
        </w:rPr>
      </w:pPr>
    </w:p>
    <w:p w14:paraId="1F7CFF64" w14:textId="20C57F68" w:rsidR="00AB6F3E" w:rsidRPr="004870C7" w:rsidRDefault="00AB6F3E" w:rsidP="002B707A">
      <w:pPr>
        <w:spacing w:after="0"/>
        <w:rPr>
          <w:bCs/>
          <w:iCs/>
          <w:szCs w:val="20"/>
        </w:rPr>
      </w:pPr>
      <w:bookmarkStart w:id="35" w:name="_Hlk71031849"/>
      <w:r w:rsidRPr="004870C7">
        <w:rPr>
          <w:bCs/>
          <w:iCs/>
          <w:szCs w:val="20"/>
        </w:rPr>
        <w:t>Based on the</w:t>
      </w:r>
      <w:r w:rsidR="00731018">
        <w:rPr>
          <w:bCs/>
          <w:iCs/>
          <w:szCs w:val="20"/>
        </w:rPr>
        <w:t xml:space="preserve"> </w:t>
      </w:r>
      <w:r w:rsidRPr="004870C7">
        <w:rPr>
          <w:bCs/>
          <w:iCs/>
          <w:szCs w:val="20"/>
        </w:rPr>
        <w:t>experience</w:t>
      </w:r>
      <w:r w:rsidR="00E27FBF" w:rsidRPr="004870C7">
        <w:rPr>
          <w:bCs/>
          <w:iCs/>
          <w:szCs w:val="20"/>
        </w:rPr>
        <w:t xml:space="preserve"> so </w:t>
      </w:r>
      <w:r w:rsidR="00FF6394" w:rsidRPr="004870C7">
        <w:rPr>
          <w:bCs/>
          <w:iCs/>
          <w:szCs w:val="20"/>
        </w:rPr>
        <w:t>far</w:t>
      </w:r>
      <w:r w:rsidRPr="004870C7">
        <w:rPr>
          <w:bCs/>
          <w:iCs/>
          <w:szCs w:val="20"/>
        </w:rPr>
        <w:t>, it is understood that the most effective way to address climate change, is to allow a real co-management of the issue, where all key stakeholders are involved, in particular in relation to the design and implementation of the mitigation and adaptation actions, in the framework of pursuing the wider objectives of sustainable development.</w:t>
      </w:r>
    </w:p>
    <w:p w14:paraId="195E53C8" w14:textId="77777777" w:rsidR="00AB6F3E" w:rsidRPr="004870C7" w:rsidRDefault="00AB6F3E" w:rsidP="002B707A">
      <w:pPr>
        <w:spacing w:after="0"/>
        <w:rPr>
          <w:bCs/>
          <w:iCs/>
          <w:szCs w:val="20"/>
        </w:rPr>
      </w:pPr>
    </w:p>
    <w:p w14:paraId="52C0D8D3" w14:textId="77777777" w:rsidR="00AB6F3E" w:rsidRPr="004870C7" w:rsidRDefault="00AB6F3E" w:rsidP="002B707A">
      <w:pPr>
        <w:spacing w:after="0"/>
        <w:rPr>
          <w:bCs/>
          <w:iCs/>
          <w:szCs w:val="20"/>
        </w:rPr>
      </w:pPr>
      <w:r w:rsidRPr="004870C7">
        <w:rPr>
          <w:bCs/>
          <w:iCs/>
          <w:szCs w:val="20"/>
        </w:rPr>
        <w:t>The integration of the different sectors strengthens the institutional and technical capacity of the different stakeholders and institutions, not limited to a reduced group of experts and decision makers from the governmental institution where lies the responsibility for the fulfillment of the national obligations to the Convention. Efforts will be made to take into consideration the needs of excluded and marginalized groups which are more affected by climate change and have less resource to adapt. For this purpose, the project team will use various tools, including design thinking, behavioral science, and foresight, thus creating a collaborative space where different stakeholders will join forces to design policies and actions that will contribute to mitigation of GHG emission and will enhance the resilience and adaptive capacities to climate change on national and local levels.</w:t>
      </w:r>
    </w:p>
    <w:p w14:paraId="4B4B0732" w14:textId="77777777" w:rsidR="00AB6F3E" w:rsidRPr="004870C7" w:rsidRDefault="00AB6F3E" w:rsidP="002B707A">
      <w:pPr>
        <w:spacing w:after="0"/>
        <w:rPr>
          <w:bCs/>
          <w:iCs/>
          <w:szCs w:val="20"/>
        </w:rPr>
      </w:pPr>
    </w:p>
    <w:p w14:paraId="185FDC43" w14:textId="77777777" w:rsidR="00AB6F3E" w:rsidRPr="004870C7" w:rsidRDefault="00AB6F3E" w:rsidP="002B707A">
      <w:pPr>
        <w:spacing w:after="0"/>
        <w:rPr>
          <w:bCs/>
          <w:iCs/>
          <w:szCs w:val="20"/>
        </w:rPr>
      </w:pPr>
      <w:r w:rsidRPr="004870C7">
        <w:rPr>
          <w:bCs/>
          <w:iCs/>
          <w:szCs w:val="20"/>
        </w:rPr>
        <w:t>During the project implementation, Montenegro will explore the opportunities to benefit and build on the existing institutional and stakeholder engagement and consultation mechanisms such as the National Council for Sustainable Development, Climate Change and Coastal Area Management with its associated working groups. The NCSDCCCAM is the national ultimate authority of decision-making on the climate change issues. The Board, established by the President of the country hosts representation of all relevant public institutions, private sector and Civil Society Organisations (CSOs). The members of the NCSDCCCAM include i) Ministry of Ecology, Spatial Planning and Urbanism, ii) Ministry of Economy, iii) Ministry of Capital Investments , iv) Ministry of Finance and Labor and Social Welfare, vi) Ministry of Interior, vii) Environmental Protection Agency, viii) Institute for Hydrometeorology and Seismology, ix) Business Alliance, xi) Employers Federation, xi) Banks Association, xii) Chamber of Commerce, xiii) National Parks Authority, xiv) MONSTAT – State Statistical Office, xv) Public Enterprise for Costal Area Management, xvi) local governments, xvii) academia representatives, xiii) CSO representatives and xix) independent experts.</w:t>
      </w:r>
    </w:p>
    <w:p w14:paraId="3091BAAD" w14:textId="77777777" w:rsidR="00AB6F3E" w:rsidRPr="004870C7" w:rsidRDefault="00AB6F3E" w:rsidP="002B707A">
      <w:pPr>
        <w:spacing w:after="0"/>
        <w:rPr>
          <w:bCs/>
          <w:iCs/>
          <w:szCs w:val="20"/>
        </w:rPr>
      </w:pPr>
    </w:p>
    <w:p w14:paraId="61B34B7F" w14:textId="77777777" w:rsidR="00AB6F3E" w:rsidRPr="004870C7" w:rsidRDefault="00AB6F3E" w:rsidP="002B707A">
      <w:pPr>
        <w:spacing w:after="0"/>
        <w:rPr>
          <w:bCs/>
          <w:iCs/>
          <w:szCs w:val="20"/>
        </w:rPr>
      </w:pPr>
      <w:r w:rsidRPr="004870C7">
        <w:rPr>
          <w:bCs/>
          <w:iCs/>
          <w:szCs w:val="20"/>
        </w:rPr>
        <w:t>The close collaboration and participation of wide range of stakeholders including ministries, agencies, local authorities, CSOs, scientific community, private sector, international organisations and media are critical for mainstreaming climate change considerations into national and sectoral development policies as well as for strengthening capacities and raising awareness of different stakeholders on climate change issues. Therefore, stakeholder engagement process to be adopted in all phases of project implementation will not be limited to specific groups of experts but will involve representatives of all relevant institutions, coming from a range of different backgrounds. This process is believed to ensure the ownership of the national institutions on the project outcomes and enhance inter-agency cooperation and coordination. Moreover, it will further strengthen the platform, established in NC preparation activities, for exchanging information and experiences, formulating policies, building capacities and raising awareness through a participatory and inclusive approach.</w:t>
      </w:r>
    </w:p>
    <w:p w14:paraId="3664405F" w14:textId="77777777" w:rsidR="00AB6F3E" w:rsidRPr="004870C7" w:rsidRDefault="00AB6F3E" w:rsidP="002B707A">
      <w:pPr>
        <w:spacing w:after="0"/>
        <w:rPr>
          <w:bCs/>
          <w:iCs/>
          <w:szCs w:val="20"/>
        </w:rPr>
      </w:pPr>
    </w:p>
    <w:p w14:paraId="3F06524E" w14:textId="77777777" w:rsidR="00AB6F3E" w:rsidRPr="004870C7" w:rsidRDefault="00AB6F3E" w:rsidP="002B707A">
      <w:pPr>
        <w:spacing w:after="0"/>
        <w:rPr>
          <w:bCs/>
          <w:iCs/>
          <w:szCs w:val="20"/>
        </w:rPr>
      </w:pPr>
      <w:r w:rsidRPr="004870C7">
        <w:rPr>
          <w:bCs/>
          <w:iCs/>
          <w:szCs w:val="20"/>
        </w:rPr>
        <w:t>The MSDT is expected to perform leadership and act in coordination with all relevant stakeholders, throughout the activities, for ensuring the achievement of results to be reported and communicated through the NC/BTR. The MSDT will take active part in stocktaking analysis, technical assessment, individual and institutional strengthening and capacity building activities. Other relevant stakeholders, CSOs, private sector and academia representatives will be included in the process through the participatory and inclusive approach planned within the project.</w:t>
      </w:r>
    </w:p>
    <w:p w14:paraId="70905359" w14:textId="77777777" w:rsidR="00AB6F3E" w:rsidRPr="004870C7" w:rsidRDefault="00AB6F3E" w:rsidP="002B707A">
      <w:pPr>
        <w:spacing w:after="0"/>
        <w:rPr>
          <w:bCs/>
          <w:iCs/>
          <w:szCs w:val="20"/>
        </w:rPr>
      </w:pPr>
    </w:p>
    <w:p w14:paraId="6BDA7571" w14:textId="77777777" w:rsidR="00AB6F3E" w:rsidRPr="004870C7" w:rsidRDefault="00AB6F3E" w:rsidP="002B707A">
      <w:pPr>
        <w:spacing w:after="0"/>
        <w:rPr>
          <w:bCs/>
          <w:iCs/>
          <w:szCs w:val="20"/>
        </w:rPr>
      </w:pPr>
      <w:r w:rsidRPr="004870C7">
        <w:rPr>
          <w:bCs/>
          <w:iCs/>
          <w:szCs w:val="20"/>
        </w:rPr>
        <w:t>The Institute of Hydrometeorology and Seismology is responsible for climate research and systematic observation. The same Institute will be in charge and makes its contribution to the chapter relating to assessment of the expected impacts of climate change, vulnerability and development of adaptation measures in different sectors of the national economy. The Institute for Public Health and the University of Montenegro will be involved in preparation of the V&amp;A chapter.</w:t>
      </w:r>
    </w:p>
    <w:p w14:paraId="36D8507C" w14:textId="77777777" w:rsidR="00AB6F3E" w:rsidRPr="004870C7" w:rsidRDefault="00AB6F3E" w:rsidP="002B707A">
      <w:pPr>
        <w:spacing w:after="0"/>
        <w:rPr>
          <w:bCs/>
          <w:iCs/>
          <w:szCs w:val="20"/>
        </w:rPr>
      </w:pPr>
    </w:p>
    <w:p w14:paraId="23947632" w14:textId="77777777" w:rsidR="00AB6F3E" w:rsidRPr="004870C7" w:rsidRDefault="00AB6F3E" w:rsidP="002B707A">
      <w:pPr>
        <w:spacing w:after="0"/>
        <w:rPr>
          <w:bCs/>
          <w:iCs/>
          <w:szCs w:val="20"/>
        </w:rPr>
      </w:pPr>
      <w:r w:rsidRPr="004870C7">
        <w:rPr>
          <w:bCs/>
          <w:iCs/>
          <w:szCs w:val="20"/>
        </w:rPr>
        <w:lastRenderedPageBreak/>
        <w:t>Independent national experts on climate change will be involved in preparation of the following chapters 4NC/BTR: projections and assessment of the total effect of policies and measures, education, training and public awareness on climate change.</w:t>
      </w:r>
    </w:p>
    <w:p w14:paraId="11872B24" w14:textId="77777777" w:rsidR="00AB6F3E" w:rsidRPr="004870C7" w:rsidRDefault="00AB6F3E" w:rsidP="002B707A">
      <w:pPr>
        <w:spacing w:after="0"/>
        <w:rPr>
          <w:bCs/>
          <w:iCs/>
          <w:szCs w:val="20"/>
        </w:rPr>
      </w:pPr>
    </w:p>
    <w:p w14:paraId="098EC8CB" w14:textId="77777777" w:rsidR="00AB6F3E" w:rsidRPr="004870C7" w:rsidRDefault="00AB6F3E" w:rsidP="002B707A">
      <w:pPr>
        <w:spacing w:after="0"/>
        <w:rPr>
          <w:bCs/>
          <w:iCs/>
          <w:szCs w:val="20"/>
        </w:rPr>
      </w:pPr>
      <w:r w:rsidRPr="004870C7">
        <w:rPr>
          <w:bCs/>
          <w:iCs/>
          <w:szCs w:val="20"/>
        </w:rPr>
        <w:t xml:space="preserve">Civil society organizations will take part in the 4NC preparation, especially the environmental and NGOs working on empowerment of women and marginalised groups. </w:t>
      </w:r>
    </w:p>
    <w:p w14:paraId="45B9B683" w14:textId="77777777" w:rsidR="00AB6F3E" w:rsidRPr="004870C7" w:rsidRDefault="00AB6F3E" w:rsidP="002B707A">
      <w:pPr>
        <w:spacing w:after="0"/>
        <w:rPr>
          <w:bCs/>
          <w:iCs/>
          <w:szCs w:val="20"/>
        </w:rPr>
      </w:pPr>
    </w:p>
    <w:p w14:paraId="009BA439" w14:textId="77777777" w:rsidR="00AB6F3E" w:rsidRPr="004870C7" w:rsidRDefault="00AB6F3E" w:rsidP="002B707A">
      <w:pPr>
        <w:spacing w:after="0"/>
        <w:rPr>
          <w:bCs/>
          <w:iCs/>
          <w:szCs w:val="20"/>
        </w:rPr>
      </w:pPr>
      <w:r w:rsidRPr="004870C7">
        <w:rPr>
          <w:bCs/>
          <w:iCs/>
          <w:szCs w:val="20"/>
        </w:rPr>
        <w:t xml:space="preserve">Once the 4NC/BTR is completed, it will be posted on the www.klimatskepromjene.me website, and all stakeholders, including NGOs will be able to evaluate them, make suggestions and recommendations. </w:t>
      </w:r>
    </w:p>
    <w:bookmarkEnd w:id="35"/>
    <w:p w14:paraId="6DF7D002" w14:textId="77777777" w:rsidR="00AB6F3E" w:rsidRPr="004870C7" w:rsidRDefault="00AB6F3E" w:rsidP="00AB6F3E">
      <w:pPr>
        <w:spacing w:after="0"/>
        <w:jc w:val="left"/>
        <w:rPr>
          <w:b/>
          <w:bCs/>
          <w:iCs/>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629"/>
      </w:tblGrid>
      <w:tr w:rsidR="00AB6F3E" w:rsidRPr="004870C7" w14:paraId="2B0E8498" w14:textId="77777777" w:rsidTr="002B707A">
        <w:trPr>
          <w:tblHeader/>
        </w:trPr>
        <w:tc>
          <w:tcPr>
            <w:tcW w:w="4139" w:type="dxa"/>
            <w:shd w:val="clear" w:color="auto" w:fill="auto"/>
          </w:tcPr>
          <w:p w14:paraId="56F3CA7F" w14:textId="77777777" w:rsidR="00AB6F3E" w:rsidRPr="004870C7" w:rsidRDefault="00AB6F3E" w:rsidP="00AB6F3E">
            <w:pPr>
              <w:spacing w:after="0"/>
              <w:jc w:val="left"/>
              <w:rPr>
                <w:b/>
                <w:bCs/>
                <w:iCs/>
                <w:szCs w:val="20"/>
              </w:rPr>
            </w:pPr>
            <w:r w:rsidRPr="004870C7">
              <w:rPr>
                <w:b/>
                <w:bCs/>
                <w:iCs/>
                <w:szCs w:val="20"/>
              </w:rPr>
              <w:t>Stakeholder</w:t>
            </w:r>
          </w:p>
        </w:tc>
        <w:tc>
          <w:tcPr>
            <w:tcW w:w="6476" w:type="dxa"/>
            <w:shd w:val="clear" w:color="auto" w:fill="auto"/>
          </w:tcPr>
          <w:p w14:paraId="61AC538F" w14:textId="77777777" w:rsidR="00AB6F3E" w:rsidRPr="004870C7" w:rsidRDefault="00AB6F3E" w:rsidP="00AB6F3E">
            <w:pPr>
              <w:spacing w:after="0"/>
              <w:jc w:val="left"/>
              <w:rPr>
                <w:b/>
                <w:bCs/>
                <w:iCs/>
                <w:szCs w:val="20"/>
              </w:rPr>
            </w:pPr>
            <w:r w:rsidRPr="004870C7">
              <w:rPr>
                <w:b/>
                <w:bCs/>
                <w:iCs/>
                <w:szCs w:val="20"/>
              </w:rPr>
              <w:t>Role</w:t>
            </w:r>
          </w:p>
        </w:tc>
      </w:tr>
      <w:tr w:rsidR="00AB6F3E" w:rsidRPr="004870C7" w14:paraId="7C40608C" w14:textId="77777777" w:rsidTr="003A1253">
        <w:tc>
          <w:tcPr>
            <w:tcW w:w="4139" w:type="dxa"/>
            <w:shd w:val="clear" w:color="auto" w:fill="auto"/>
          </w:tcPr>
          <w:p w14:paraId="6701876B" w14:textId="25E336A4" w:rsidR="00AB6F3E" w:rsidRPr="004870C7" w:rsidRDefault="00AB6F3E" w:rsidP="00AB6F3E">
            <w:pPr>
              <w:spacing w:after="0"/>
              <w:jc w:val="left"/>
              <w:rPr>
                <w:bCs/>
                <w:iCs/>
                <w:szCs w:val="20"/>
              </w:rPr>
            </w:pPr>
            <w:r w:rsidRPr="004870C7">
              <w:rPr>
                <w:bCs/>
                <w:iCs/>
                <w:szCs w:val="20"/>
              </w:rPr>
              <w:t xml:space="preserve">Ministry </w:t>
            </w:r>
            <w:r w:rsidR="00731018" w:rsidRPr="004870C7">
              <w:rPr>
                <w:bCs/>
                <w:iCs/>
                <w:szCs w:val="20"/>
              </w:rPr>
              <w:t>of Ecology</w:t>
            </w:r>
            <w:r w:rsidRPr="004870C7">
              <w:rPr>
                <w:bCs/>
                <w:iCs/>
                <w:szCs w:val="20"/>
              </w:rPr>
              <w:t>, Spatial Planning and Urbanism, Directorate for International Cooperation, EU Integration and Climate Change</w:t>
            </w:r>
          </w:p>
        </w:tc>
        <w:tc>
          <w:tcPr>
            <w:tcW w:w="6476" w:type="dxa"/>
            <w:shd w:val="clear" w:color="auto" w:fill="auto"/>
          </w:tcPr>
          <w:p w14:paraId="40B509A9" w14:textId="3D2CC06F" w:rsidR="00AB6F3E" w:rsidRPr="004870C7" w:rsidRDefault="00AB6F3E" w:rsidP="00AB6F3E">
            <w:pPr>
              <w:spacing w:after="0"/>
              <w:jc w:val="left"/>
              <w:rPr>
                <w:bCs/>
                <w:iCs/>
                <w:szCs w:val="20"/>
              </w:rPr>
            </w:pPr>
            <w:r w:rsidRPr="004870C7">
              <w:rPr>
                <w:bCs/>
                <w:iCs/>
                <w:szCs w:val="20"/>
              </w:rPr>
              <w:t xml:space="preserve">The Department for Climate Change (DCC) is the focal point of the IPCC and UNFCCC and in charge of climate activities in Montenegro on behalf of the Ministry of Ecology, Spatial Planning and </w:t>
            </w:r>
            <w:r w:rsidR="00731018" w:rsidRPr="004870C7">
              <w:rPr>
                <w:bCs/>
                <w:iCs/>
                <w:szCs w:val="20"/>
              </w:rPr>
              <w:t>Urbanism</w:t>
            </w:r>
            <w:r w:rsidR="00731018">
              <w:rPr>
                <w:bCs/>
                <w:iCs/>
                <w:szCs w:val="20"/>
              </w:rPr>
              <w:t xml:space="preserve">. </w:t>
            </w:r>
            <w:r w:rsidRPr="004870C7">
              <w:rPr>
                <w:bCs/>
                <w:iCs/>
                <w:szCs w:val="20"/>
              </w:rPr>
              <w:t>It is thus in charge of the elaboration of climate change policy, national adaptation plan, MRV activities and the reporting to the UNFCCC. The role of the DCC will be the overall coordination of the activities defined by the project and ensure the efficient communication with the other stakeholders. Therefore, it will be involved in all activities and trainings taking the leading role in the 4NC/BTR work. DCC has also the key role in the project outcome 3.3 – NDC tracking.</w:t>
            </w:r>
          </w:p>
        </w:tc>
      </w:tr>
      <w:tr w:rsidR="00AB6F3E" w:rsidRPr="004870C7" w14:paraId="09CE26AA" w14:textId="77777777" w:rsidTr="003A1253">
        <w:tc>
          <w:tcPr>
            <w:tcW w:w="4139" w:type="dxa"/>
            <w:shd w:val="clear" w:color="auto" w:fill="auto"/>
          </w:tcPr>
          <w:p w14:paraId="4CC4D7FD" w14:textId="77777777" w:rsidR="00AB6F3E" w:rsidRPr="004870C7" w:rsidRDefault="00AB6F3E" w:rsidP="00AB6F3E">
            <w:pPr>
              <w:spacing w:after="0"/>
              <w:jc w:val="left"/>
              <w:rPr>
                <w:bCs/>
                <w:iCs/>
                <w:szCs w:val="20"/>
              </w:rPr>
            </w:pPr>
            <w:r w:rsidRPr="004870C7">
              <w:rPr>
                <w:bCs/>
                <w:iCs/>
                <w:szCs w:val="20"/>
              </w:rPr>
              <w:t>Environment Protection Agency (EPA)</w:t>
            </w:r>
          </w:p>
        </w:tc>
        <w:tc>
          <w:tcPr>
            <w:tcW w:w="6476" w:type="dxa"/>
            <w:shd w:val="clear" w:color="auto" w:fill="auto"/>
          </w:tcPr>
          <w:p w14:paraId="369EEBF0" w14:textId="77777777" w:rsidR="00AB6F3E" w:rsidRPr="004870C7" w:rsidRDefault="00AB6F3E" w:rsidP="00AB6F3E">
            <w:pPr>
              <w:spacing w:after="0"/>
              <w:jc w:val="left"/>
              <w:rPr>
                <w:bCs/>
                <w:iCs/>
                <w:szCs w:val="20"/>
              </w:rPr>
            </w:pPr>
            <w:r w:rsidRPr="004870C7">
              <w:rPr>
                <w:bCs/>
                <w:iCs/>
                <w:szCs w:val="20"/>
              </w:rPr>
              <w:t>Environment Protection Agency (EPA) is in charge of the GHG inventory development, activity database, processing, storage and inventory reporting. Thereby, its expertise will be important preparation of the updated GHG inventory under component 2 (outcomes 2.1-2.3). Besides the inventory calculation, its role in the project will be in the data collection and data quality improvement, implementation of QA/QC procedures and uncertainty assessments. The EPA experts will be also involved in standardizing format for data requesting development in accordance with the Annual Data Collection Plan.</w:t>
            </w:r>
          </w:p>
        </w:tc>
      </w:tr>
      <w:tr w:rsidR="00AB6F3E" w:rsidRPr="004870C7" w14:paraId="6A3B7A64" w14:textId="77777777" w:rsidTr="003A1253">
        <w:tc>
          <w:tcPr>
            <w:tcW w:w="4139" w:type="dxa"/>
            <w:shd w:val="clear" w:color="auto" w:fill="auto"/>
          </w:tcPr>
          <w:p w14:paraId="44ADFE61" w14:textId="2310B8CC" w:rsidR="00AB6F3E" w:rsidRPr="004870C7" w:rsidRDefault="00AB6F3E" w:rsidP="00AB6F3E">
            <w:pPr>
              <w:spacing w:after="0"/>
              <w:jc w:val="left"/>
              <w:rPr>
                <w:bCs/>
                <w:iCs/>
                <w:szCs w:val="20"/>
              </w:rPr>
            </w:pPr>
            <w:r w:rsidRPr="004870C7">
              <w:rPr>
                <w:bCs/>
                <w:iCs/>
                <w:szCs w:val="20"/>
              </w:rPr>
              <w:t>Ministry of Ecology, Spatial Planning and Urbanism, Directorate for Waste Management and Communal Development</w:t>
            </w:r>
          </w:p>
        </w:tc>
        <w:tc>
          <w:tcPr>
            <w:tcW w:w="6476" w:type="dxa"/>
            <w:shd w:val="clear" w:color="auto" w:fill="auto"/>
          </w:tcPr>
          <w:p w14:paraId="6204B909" w14:textId="77777777" w:rsidR="00AB6F3E" w:rsidRPr="004870C7" w:rsidRDefault="00AB6F3E" w:rsidP="00AB6F3E">
            <w:pPr>
              <w:spacing w:after="0"/>
              <w:jc w:val="left"/>
              <w:rPr>
                <w:bCs/>
                <w:iCs/>
                <w:szCs w:val="20"/>
              </w:rPr>
            </w:pPr>
            <w:r w:rsidRPr="004870C7">
              <w:rPr>
                <w:bCs/>
                <w:iCs/>
                <w:szCs w:val="20"/>
              </w:rPr>
              <w:t>Directorate for Waste Management and Communal Development is in charge of waste policy of the country. Thereby, its expertise will be important in work under component 3, as well as through the work on components 2 and 4. The waste experts will be involved in waste data quality improvement and supply for the purpose of GHG projections in waste sector, gender involvement in waste planning and projects, stakeholder consultations and gender training, as well as setting up and reporting of mitigation and adaptation actions.</w:t>
            </w:r>
          </w:p>
        </w:tc>
      </w:tr>
      <w:tr w:rsidR="00AB6F3E" w:rsidRPr="004870C7" w14:paraId="167C95A0" w14:textId="77777777" w:rsidTr="003A1253">
        <w:tc>
          <w:tcPr>
            <w:tcW w:w="4139" w:type="dxa"/>
            <w:shd w:val="clear" w:color="auto" w:fill="auto"/>
          </w:tcPr>
          <w:p w14:paraId="06D32C4B" w14:textId="77777777" w:rsidR="00AB6F3E" w:rsidRPr="004870C7" w:rsidRDefault="00AB6F3E" w:rsidP="00AB6F3E">
            <w:pPr>
              <w:spacing w:after="0"/>
              <w:jc w:val="left"/>
              <w:rPr>
                <w:bCs/>
                <w:iCs/>
                <w:szCs w:val="20"/>
              </w:rPr>
            </w:pPr>
            <w:r w:rsidRPr="004870C7">
              <w:rPr>
                <w:bCs/>
                <w:iCs/>
                <w:szCs w:val="20"/>
              </w:rPr>
              <w:t>Ministry of Capital Investments, Directorate for Energy</w:t>
            </w:r>
          </w:p>
        </w:tc>
        <w:tc>
          <w:tcPr>
            <w:tcW w:w="6476" w:type="dxa"/>
            <w:shd w:val="clear" w:color="auto" w:fill="auto"/>
          </w:tcPr>
          <w:p w14:paraId="6E56E42D" w14:textId="77777777" w:rsidR="00AB6F3E" w:rsidRPr="004870C7" w:rsidRDefault="00AB6F3E" w:rsidP="00AB6F3E">
            <w:pPr>
              <w:spacing w:after="0"/>
              <w:jc w:val="left"/>
              <w:rPr>
                <w:bCs/>
                <w:iCs/>
                <w:szCs w:val="20"/>
              </w:rPr>
            </w:pPr>
            <w:r w:rsidRPr="004870C7">
              <w:rPr>
                <w:bCs/>
                <w:iCs/>
                <w:szCs w:val="20"/>
              </w:rPr>
              <w:t>Directorate for Energy is in charge of energy policy of the country. Thereby, its expertise will be important in work under component 3, as well as through the work on components 2 and 4. The energy experts will be involved in energy data quality improvement and supply for the purpose of GHG projections in energy sector, gender involvement in energy planning and projects, stakeholder consultations and gender training, as well as setting up and reporting of mitigation and adaptation actions.</w:t>
            </w:r>
          </w:p>
        </w:tc>
      </w:tr>
      <w:tr w:rsidR="00AB6F3E" w:rsidRPr="004870C7" w14:paraId="068A18AC" w14:textId="77777777" w:rsidTr="003A1253">
        <w:tc>
          <w:tcPr>
            <w:tcW w:w="4139" w:type="dxa"/>
            <w:shd w:val="clear" w:color="auto" w:fill="auto"/>
          </w:tcPr>
          <w:p w14:paraId="4484D798" w14:textId="77777777" w:rsidR="00AB6F3E" w:rsidRPr="004870C7" w:rsidRDefault="00AB6F3E" w:rsidP="00AB6F3E">
            <w:pPr>
              <w:spacing w:after="0"/>
              <w:jc w:val="left"/>
              <w:rPr>
                <w:bCs/>
                <w:iCs/>
                <w:szCs w:val="20"/>
              </w:rPr>
            </w:pPr>
            <w:r w:rsidRPr="004870C7">
              <w:rPr>
                <w:bCs/>
                <w:iCs/>
                <w:szCs w:val="20"/>
              </w:rPr>
              <w:t>Ministry of Economy, Directorate for Industry and Entrepreneurship</w:t>
            </w:r>
          </w:p>
        </w:tc>
        <w:tc>
          <w:tcPr>
            <w:tcW w:w="6476" w:type="dxa"/>
            <w:shd w:val="clear" w:color="auto" w:fill="auto"/>
          </w:tcPr>
          <w:p w14:paraId="374FAC19" w14:textId="0D9851CB" w:rsidR="00AB6F3E" w:rsidRPr="004870C7" w:rsidRDefault="00AB6F3E" w:rsidP="00AB6F3E">
            <w:pPr>
              <w:spacing w:after="0"/>
              <w:jc w:val="left"/>
              <w:rPr>
                <w:bCs/>
                <w:iCs/>
                <w:szCs w:val="20"/>
              </w:rPr>
            </w:pPr>
            <w:r w:rsidRPr="004870C7">
              <w:rPr>
                <w:bCs/>
                <w:iCs/>
                <w:szCs w:val="20"/>
              </w:rPr>
              <w:t xml:space="preserve">Directorate for Industry and </w:t>
            </w:r>
            <w:r w:rsidR="007756CB" w:rsidRPr="004870C7">
              <w:rPr>
                <w:bCs/>
                <w:iCs/>
                <w:szCs w:val="20"/>
              </w:rPr>
              <w:t>Entrepreneurship</w:t>
            </w:r>
            <w:r w:rsidRPr="004870C7">
              <w:rPr>
                <w:bCs/>
                <w:iCs/>
                <w:szCs w:val="20"/>
              </w:rPr>
              <w:t xml:space="preserve"> is in charge of industrial policy of the country. Thereby, its expertise will be </w:t>
            </w:r>
            <w:r w:rsidRPr="004870C7">
              <w:rPr>
                <w:bCs/>
                <w:iCs/>
                <w:szCs w:val="20"/>
              </w:rPr>
              <w:lastRenderedPageBreak/>
              <w:t>important in work under component 3, as well as through the work on components 2 and 4. The industry experts will be involved in industry data quality improvement and supply for the purpose of GHG projections in IPPU sector, gender involvement in industry and projects, stakeholder consultations and gender training, as well as setting up and reporting of mitigation and adaptation actions.</w:t>
            </w:r>
          </w:p>
        </w:tc>
      </w:tr>
      <w:tr w:rsidR="00AB6F3E" w:rsidRPr="004870C7" w14:paraId="4AA3AE6C" w14:textId="77777777" w:rsidTr="003A1253">
        <w:tc>
          <w:tcPr>
            <w:tcW w:w="4139" w:type="dxa"/>
            <w:shd w:val="clear" w:color="auto" w:fill="auto"/>
          </w:tcPr>
          <w:p w14:paraId="7AE12CF0" w14:textId="2AFDFC6E" w:rsidR="00AB6F3E" w:rsidRPr="004870C7" w:rsidRDefault="00AB6F3E" w:rsidP="00AB6F3E">
            <w:pPr>
              <w:spacing w:after="0"/>
              <w:jc w:val="left"/>
              <w:rPr>
                <w:bCs/>
                <w:iCs/>
                <w:szCs w:val="20"/>
              </w:rPr>
            </w:pPr>
            <w:r w:rsidRPr="004870C7">
              <w:rPr>
                <w:bCs/>
                <w:iCs/>
                <w:szCs w:val="20"/>
              </w:rPr>
              <w:lastRenderedPageBreak/>
              <w:t xml:space="preserve">Ministry </w:t>
            </w:r>
            <w:r w:rsidR="002B707A" w:rsidRPr="004870C7">
              <w:rPr>
                <w:bCs/>
                <w:iCs/>
                <w:szCs w:val="20"/>
              </w:rPr>
              <w:t>of Agriculture</w:t>
            </w:r>
            <w:r w:rsidRPr="004870C7">
              <w:rPr>
                <w:bCs/>
                <w:iCs/>
                <w:szCs w:val="20"/>
              </w:rPr>
              <w:t>, Forestry and Waters, Directorate for Agriculture</w:t>
            </w:r>
          </w:p>
        </w:tc>
        <w:tc>
          <w:tcPr>
            <w:tcW w:w="6476" w:type="dxa"/>
            <w:shd w:val="clear" w:color="auto" w:fill="auto"/>
          </w:tcPr>
          <w:p w14:paraId="2B85E4B5" w14:textId="77777777" w:rsidR="00AB6F3E" w:rsidRPr="004870C7" w:rsidRDefault="00AB6F3E" w:rsidP="00AB6F3E">
            <w:pPr>
              <w:spacing w:after="0"/>
              <w:jc w:val="left"/>
              <w:rPr>
                <w:bCs/>
                <w:iCs/>
                <w:szCs w:val="20"/>
              </w:rPr>
            </w:pPr>
            <w:r w:rsidRPr="004870C7">
              <w:rPr>
                <w:bCs/>
                <w:iCs/>
                <w:szCs w:val="20"/>
              </w:rPr>
              <w:t>Directorate for Agriculture is in charge of agricultural policy of the country. Thereby, its expertise will be important in work under component 3, as well as through the work on components 2 and 4. The agricultural experts will be involved in agriculture data quality improvement and supply for the purpose of GHG projections in agriculture sector, gender involvement in agricultural planning and projects, stakeholder consultations and gender training, as well as setting up and reporting of mitigation and adaptation actions.</w:t>
            </w:r>
          </w:p>
        </w:tc>
      </w:tr>
      <w:tr w:rsidR="00AB6F3E" w:rsidRPr="004870C7" w14:paraId="7C44AB37" w14:textId="77777777" w:rsidTr="003A1253">
        <w:tc>
          <w:tcPr>
            <w:tcW w:w="4139" w:type="dxa"/>
            <w:shd w:val="clear" w:color="auto" w:fill="auto"/>
          </w:tcPr>
          <w:p w14:paraId="046747B2" w14:textId="77777777" w:rsidR="00AB6F3E" w:rsidRPr="004870C7" w:rsidRDefault="00AB6F3E" w:rsidP="00AB6F3E">
            <w:pPr>
              <w:spacing w:after="0"/>
              <w:jc w:val="left"/>
              <w:rPr>
                <w:bCs/>
                <w:iCs/>
                <w:szCs w:val="20"/>
              </w:rPr>
            </w:pPr>
            <w:r w:rsidRPr="004870C7">
              <w:rPr>
                <w:bCs/>
                <w:iCs/>
                <w:szCs w:val="20"/>
              </w:rPr>
              <w:t>Ministry of Agriculture, Forestry and Waters, Directorate for Forestry</w:t>
            </w:r>
          </w:p>
        </w:tc>
        <w:tc>
          <w:tcPr>
            <w:tcW w:w="6476" w:type="dxa"/>
            <w:shd w:val="clear" w:color="auto" w:fill="auto"/>
          </w:tcPr>
          <w:p w14:paraId="09361EB5" w14:textId="77777777" w:rsidR="00AB6F3E" w:rsidRPr="004870C7" w:rsidRDefault="00AB6F3E" w:rsidP="00AB6F3E">
            <w:pPr>
              <w:spacing w:after="0"/>
              <w:jc w:val="left"/>
              <w:rPr>
                <w:bCs/>
                <w:iCs/>
                <w:szCs w:val="20"/>
              </w:rPr>
            </w:pPr>
            <w:r w:rsidRPr="004870C7">
              <w:rPr>
                <w:bCs/>
                <w:iCs/>
                <w:szCs w:val="20"/>
              </w:rPr>
              <w:t>Directorate for Forestry is in charge of forest policy of the country. Thereby, its expertise will be important in work under component 3, as well as through the work on components 2 and 4. The forestry experts will be involved in forestry data quality improvement and supply for the purpose of GHG projections in forestry sector, gender involvement in forestry planning and projects, stakeholder consultations and gender training, as well as setting up and reporting of mitigation and adaptation actions.</w:t>
            </w:r>
          </w:p>
        </w:tc>
      </w:tr>
      <w:tr w:rsidR="00AB6F3E" w:rsidRPr="004870C7" w14:paraId="7B203BC7" w14:textId="77777777" w:rsidTr="003A1253">
        <w:tc>
          <w:tcPr>
            <w:tcW w:w="4139" w:type="dxa"/>
            <w:shd w:val="clear" w:color="auto" w:fill="auto"/>
          </w:tcPr>
          <w:p w14:paraId="71695649" w14:textId="77777777" w:rsidR="00AB6F3E" w:rsidRPr="004870C7" w:rsidRDefault="00AB6F3E" w:rsidP="00AB6F3E">
            <w:pPr>
              <w:spacing w:after="0"/>
              <w:jc w:val="left"/>
              <w:rPr>
                <w:bCs/>
                <w:iCs/>
                <w:szCs w:val="20"/>
              </w:rPr>
            </w:pPr>
            <w:r w:rsidRPr="004870C7">
              <w:rPr>
                <w:bCs/>
                <w:iCs/>
                <w:szCs w:val="20"/>
              </w:rPr>
              <w:t>Ministry for Human and Minority Rights</w:t>
            </w:r>
          </w:p>
        </w:tc>
        <w:tc>
          <w:tcPr>
            <w:tcW w:w="6476" w:type="dxa"/>
            <w:shd w:val="clear" w:color="auto" w:fill="auto"/>
          </w:tcPr>
          <w:p w14:paraId="712031B7" w14:textId="77777777" w:rsidR="00AB6F3E" w:rsidRPr="004870C7" w:rsidRDefault="00AB6F3E" w:rsidP="00AB6F3E">
            <w:pPr>
              <w:spacing w:after="0"/>
              <w:jc w:val="left"/>
              <w:rPr>
                <w:bCs/>
                <w:iCs/>
                <w:szCs w:val="20"/>
              </w:rPr>
            </w:pPr>
            <w:r w:rsidRPr="004870C7">
              <w:rPr>
                <w:bCs/>
                <w:iCs/>
                <w:szCs w:val="20"/>
              </w:rPr>
              <w:t>In charge of gender policy of the country. Thereby, its expertise will be important in work under component 1, as well as through the work on components 3 and 4. The gender experts will be involved in setting up and reporting of mitigation and adaptation actions, stakeholder consultations and gender training,</w:t>
            </w:r>
          </w:p>
        </w:tc>
      </w:tr>
      <w:tr w:rsidR="00AB6F3E" w:rsidRPr="004870C7" w14:paraId="74BE2374" w14:textId="77777777" w:rsidTr="003A1253">
        <w:tc>
          <w:tcPr>
            <w:tcW w:w="4139" w:type="dxa"/>
            <w:shd w:val="clear" w:color="auto" w:fill="auto"/>
          </w:tcPr>
          <w:p w14:paraId="1EA23CB4" w14:textId="77777777" w:rsidR="00AB6F3E" w:rsidRPr="004870C7" w:rsidRDefault="00AB6F3E" w:rsidP="00AB6F3E">
            <w:pPr>
              <w:spacing w:after="0"/>
              <w:jc w:val="left"/>
              <w:rPr>
                <w:bCs/>
                <w:iCs/>
                <w:szCs w:val="20"/>
              </w:rPr>
            </w:pPr>
            <w:r w:rsidRPr="004870C7">
              <w:rPr>
                <w:bCs/>
                <w:iCs/>
                <w:szCs w:val="20"/>
              </w:rPr>
              <w:t>National Council for Sustainable Development, Climate Change and Coastal Area Management - NCSDCCCAM</w:t>
            </w:r>
          </w:p>
        </w:tc>
        <w:tc>
          <w:tcPr>
            <w:tcW w:w="6476" w:type="dxa"/>
            <w:shd w:val="clear" w:color="auto" w:fill="auto"/>
          </w:tcPr>
          <w:p w14:paraId="50FF7F29" w14:textId="77777777" w:rsidR="00AB6F3E" w:rsidRPr="004870C7" w:rsidRDefault="00AB6F3E" w:rsidP="00AB6F3E">
            <w:pPr>
              <w:spacing w:after="0"/>
              <w:jc w:val="left"/>
              <w:rPr>
                <w:bCs/>
                <w:iCs/>
                <w:szCs w:val="20"/>
              </w:rPr>
            </w:pPr>
            <w:r w:rsidRPr="004870C7">
              <w:rPr>
                <w:bCs/>
                <w:iCs/>
                <w:szCs w:val="20"/>
              </w:rPr>
              <w:t>Participatory platform aimed at providing high-level support and guidance for the overall climate change policies in the country. The council will follow the whole 4NC/1BTR process, thus being involved in all components, since it is in charge of progress and challenges on climate change actions and theirs links to other national strategies and sustainable development goals. Furthermore, the Council will contribute to the definition and implementation of mitigation and adaptation actions, as well as gender activities.</w:t>
            </w:r>
          </w:p>
        </w:tc>
      </w:tr>
      <w:tr w:rsidR="00AB6F3E" w:rsidRPr="004870C7" w14:paraId="1210D8CF" w14:textId="77777777" w:rsidTr="003A1253">
        <w:tc>
          <w:tcPr>
            <w:tcW w:w="4139" w:type="dxa"/>
            <w:shd w:val="clear" w:color="auto" w:fill="auto"/>
          </w:tcPr>
          <w:p w14:paraId="3D6317FF" w14:textId="77777777" w:rsidR="00AB6F3E" w:rsidRPr="004870C7" w:rsidRDefault="00AB6F3E" w:rsidP="00AB6F3E">
            <w:pPr>
              <w:spacing w:after="0"/>
              <w:jc w:val="left"/>
              <w:rPr>
                <w:bCs/>
                <w:iCs/>
                <w:szCs w:val="20"/>
              </w:rPr>
            </w:pPr>
            <w:r w:rsidRPr="004870C7">
              <w:rPr>
                <w:bCs/>
                <w:iCs/>
                <w:szCs w:val="20"/>
              </w:rPr>
              <w:t>MONSTAT – State Statistical Office</w:t>
            </w:r>
          </w:p>
        </w:tc>
        <w:tc>
          <w:tcPr>
            <w:tcW w:w="6476" w:type="dxa"/>
            <w:shd w:val="clear" w:color="auto" w:fill="auto"/>
          </w:tcPr>
          <w:p w14:paraId="1D9C590C" w14:textId="77777777" w:rsidR="00AB6F3E" w:rsidRPr="004870C7" w:rsidRDefault="00AB6F3E" w:rsidP="00AB6F3E">
            <w:pPr>
              <w:spacing w:after="0"/>
              <w:jc w:val="left"/>
              <w:rPr>
                <w:bCs/>
                <w:iCs/>
                <w:szCs w:val="20"/>
              </w:rPr>
            </w:pPr>
            <w:r w:rsidRPr="004870C7">
              <w:rPr>
                <w:bCs/>
                <w:iCs/>
                <w:szCs w:val="20"/>
              </w:rPr>
              <w:t>In charge of state statistics. Due to its significant reach to generate data on a national level, it will be the main partner to process and supply data for GHG inventory calculation and to develop gender database. The statistics experts will be involved in data quality improvement and data processing for GHG inventory calculation, gender data gathering, as well as stakeholder consultations and gender training.</w:t>
            </w:r>
          </w:p>
        </w:tc>
      </w:tr>
      <w:tr w:rsidR="00AB6F3E" w:rsidRPr="004870C7" w14:paraId="79F72E86" w14:textId="77777777" w:rsidTr="003A1253">
        <w:tc>
          <w:tcPr>
            <w:tcW w:w="4139" w:type="dxa"/>
            <w:shd w:val="clear" w:color="auto" w:fill="auto"/>
          </w:tcPr>
          <w:p w14:paraId="2B5A4090" w14:textId="77777777" w:rsidR="00AB6F3E" w:rsidRPr="004870C7" w:rsidRDefault="00AB6F3E" w:rsidP="00AB6F3E">
            <w:pPr>
              <w:spacing w:after="0"/>
              <w:jc w:val="left"/>
              <w:rPr>
                <w:bCs/>
                <w:iCs/>
                <w:szCs w:val="20"/>
              </w:rPr>
            </w:pPr>
            <w:r w:rsidRPr="004870C7">
              <w:rPr>
                <w:bCs/>
                <w:iCs/>
                <w:szCs w:val="20"/>
              </w:rPr>
              <w:t>The Institute for Hydrometeorology and Seismology</w:t>
            </w:r>
          </w:p>
        </w:tc>
        <w:tc>
          <w:tcPr>
            <w:tcW w:w="6476" w:type="dxa"/>
            <w:shd w:val="clear" w:color="auto" w:fill="auto"/>
          </w:tcPr>
          <w:p w14:paraId="406B931A" w14:textId="77777777" w:rsidR="00AB6F3E" w:rsidRPr="004870C7" w:rsidRDefault="00AB6F3E" w:rsidP="00AB6F3E">
            <w:pPr>
              <w:spacing w:after="0"/>
              <w:jc w:val="left"/>
              <w:rPr>
                <w:bCs/>
                <w:iCs/>
                <w:szCs w:val="20"/>
              </w:rPr>
            </w:pPr>
            <w:r w:rsidRPr="004870C7">
              <w:rPr>
                <w:bCs/>
                <w:iCs/>
                <w:szCs w:val="20"/>
              </w:rPr>
              <w:t xml:space="preserve">Institution in charge of hydrology, meteorology, hydrography and seismology. In charge of mostly adaptation activities. Its expertise will be important in the work within the component 4. The IHMS experts will be involved in setting up and reporting of mitigation </w:t>
            </w:r>
            <w:r w:rsidRPr="004870C7">
              <w:rPr>
                <w:bCs/>
                <w:iCs/>
                <w:szCs w:val="20"/>
              </w:rPr>
              <w:lastRenderedPageBreak/>
              <w:t>and adaptation actions, stakeholder consultations and gender training,</w:t>
            </w:r>
          </w:p>
        </w:tc>
      </w:tr>
      <w:tr w:rsidR="00AB6F3E" w:rsidRPr="004870C7" w14:paraId="32DF7955" w14:textId="77777777" w:rsidTr="003A1253">
        <w:tc>
          <w:tcPr>
            <w:tcW w:w="4139" w:type="dxa"/>
            <w:shd w:val="clear" w:color="auto" w:fill="auto"/>
          </w:tcPr>
          <w:p w14:paraId="1AC0C1F8" w14:textId="77777777" w:rsidR="00AB6F3E" w:rsidRPr="004870C7" w:rsidRDefault="00AB6F3E" w:rsidP="00AB6F3E">
            <w:pPr>
              <w:spacing w:after="0"/>
              <w:jc w:val="left"/>
              <w:rPr>
                <w:bCs/>
                <w:iCs/>
                <w:szCs w:val="20"/>
              </w:rPr>
            </w:pPr>
            <w:r w:rsidRPr="004870C7">
              <w:rPr>
                <w:bCs/>
                <w:iCs/>
                <w:szCs w:val="20"/>
              </w:rPr>
              <w:lastRenderedPageBreak/>
              <w:t>The Institute for Public Health</w:t>
            </w:r>
          </w:p>
        </w:tc>
        <w:tc>
          <w:tcPr>
            <w:tcW w:w="6476" w:type="dxa"/>
            <w:shd w:val="clear" w:color="auto" w:fill="auto"/>
          </w:tcPr>
          <w:p w14:paraId="6FDE0129" w14:textId="77777777" w:rsidR="00AB6F3E" w:rsidRPr="004870C7" w:rsidRDefault="00AB6F3E" w:rsidP="00AB6F3E">
            <w:pPr>
              <w:spacing w:after="0"/>
              <w:jc w:val="left"/>
              <w:rPr>
                <w:bCs/>
                <w:iCs/>
                <w:szCs w:val="20"/>
              </w:rPr>
            </w:pPr>
            <w:r w:rsidRPr="004870C7">
              <w:rPr>
                <w:bCs/>
                <w:iCs/>
                <w:szCs w:val="20"/>
              </w:rPr>
              <w:t>Institution in charge of public health. Thereby, its expertise will be important in the work within the component 4. The IPH experts will be involved in setting up and reporting of mitigation and adaptation actions, stakeholder consultations and gender training,</w:t>
            </w:r>
          </w:p>
        </w:tc>
      </w:tr>
      <w:tr w:rsidR="00AB6F3E" w:rsidRPr="004870C7" w14:paraId="33757A26" w14:textId="77777777" w:rsidTr="003A1253">
        <w:tc>
          <w:tcPr>
            <w:tcW w:w="4139" w:type="dxa"/>
            <w:shd w:val="clear" w:color="auto" w:fill="auto"/>
          </w:tcPr>
          <w:p w14:paraId="423E7A09" w14:textId="77777777" w:rsidR="00AB6F3E" w:rsidRPr="004870C7" w:rsidRDefault="00AB6F3E" w:rsidP="00AB6F3E">
            <w:pPr>
              <w:spacing w:after="0"/>
              <w:jc w:val="left"/>
              <w:rPr>
                <w:bCs/>
                <w:iCs/>
                <w:szCs w:val="20"/>
              </w:rPr>
            </w:pPr>
            <w:r w:rsidRPr="004870C7">
              <w:rPr>
                <w:bCs/>
                <w:iCs/>
                <w:szCs w:val="20"/>
              </w:rPr>
              <w:t>Academia, universities, scientific institutions</w:t>
            </w:r>
          </w:p>
        </w:tc>
        <w:tc>
          <w:tcPr>
            <w:tcW w:w="6476" w:type="dxa"/>
            <w:shd w:val="clear" w:color="auto" w:fill="auto"/>
          </w:tcPr>
          <w:p w14:paraId="71DC8209" w14:textId="77777777" w:rsidR="00AB6F3E" w:rsidRPr="004870C7" w:rsidRDefault="00AB6F3E" w:rsidP="00AB6F3E">
            <w:pPr>
              <w:spacing w:after="0"/>
              <w:jc w:val="left"/>
              <w:rPr>
                <w:bCs/>
                <w:iCs/>
                <w:szCs w:val="20"/>
              </w:rPr>
            </w:pPr>
            <w:r w:rsidRPr="004870C7">
              <w:rPr>
                <w:bCs/>
                <w:iCs/>
                <w:szCs w:val="20"/>
              </w:rPr>
              <w:t>Institutions in charge of science and research. Institutions in charge of science. Its expertise will take important role in all activities concerning capacity building and participative process under components 3 and 4. So far, mostly the University of Montenegro (UoM) has been involved in CC activities, but also The University of Donja Gorica (UDG) is involved within the Council. Besides, the UDG has established The Center for Climate Change, Natural Resources and Energy (CCCRNE).</w:t>
            </w:r>
          </w:p>
        </w:tc>
      </w:tr>
      <w:tr w:rsidR="00AB6F3E" w:rsidRPr="004870C7" w14:paraId="7EEF2A51" w14:textId="77777777" w:rsidTr="003A1253">
        <w:tc>
          <w:tcPr>
            <w:tcW w:w="4139" w:type="dxa"/>
            <w:shd w:val="clear" w:color="auto" w:fill="auto"/>
          </w:tcPr>
          <w:p w14:paraId="3CDBC66B" w14:textId="77777777" w:rsidR="00AB6F3E" w:rsidRPr="004870C7" w:rsidRDefault="00AB6F3E" w:rsidP="00AB6F3E">
            <w:pPr>
              <w:spacing w:after="0"/>
              <w:jc w:val="left"/>
              <w:rPr>
                <w:bCs/>
                <w:iCs/>
                <w:szCs w:val="20"/>
              </w:rPr>
            </w:pPr>
            <w:r w:rsidRPr="004870C7">
              <w:rPr>
                <w:bCs/>
                <w:iCs/>
                <w:szCs w:val="20"/>
              </w:rPr>
              <w:t>European Union</w:t>
            </w:r>
          </w:p>
        </w:tc>
        <w:tc>
          <w:tcPr>
            <w:tcW w:w="6476" w:type="dxa"/>
            <w:shd w:val="clear" w:color="auto" w:fill="auto"/>
          </w:tcPr>
          <w:p w14:paraId="5657BCB4" w14:textId="77777777" w:rsidR="00AB6F3E" w:rsidRPr="004870C7" w:rsidRDefault="00AB6F3E" w:rsidP="00AB6F3E">
            <w:pPr>
              <w:spacing w:after="0"/>
              <w:jc w:val="left"/>
              <w:rPr>
                <w:bCs/>
                <w:iCs/>
                <w:szCs w:val="20"/>
              </w:rPr>
            </w:pPr>
            <w:r w:rsidRPr="004870C7">
              <w:rPr>
                <w:bCs/>
                <w:iCs/>
                <w:szCs w:val="20"/>
              </w:rPr>
              <w:t xml:space="preserve">Key source of legislative and policy support for climate change action and source of financing. </w:t>
            </w:r>
          </w:p>
        </w:tc>
      </w:tr>
      <w:tr w:rsidR="00AB6F3E" w:rsidRPr="004870C7" w14:paraId="0B040D82" w14:textId="77777777" w:rsidTr="003A1253">
        <w:tc>
          <w:tcPr>
            <w:tcW w:w="4139" w:type="dxa"/>
            <w:shd w:val="clear" w:color="auto" w:fill="auto"/>
          </w:tcPr>
          <w:p w14:paraId="383758F7" w14:textId="77777777" w:rsidR="00AB6F3E" w:rsidRPr="004870C7" w:rsidRDefault="00AB6F3E" w:rsidP="00AB6F3E">
            <w:pPr>
              <w:spacing w:after="0"/>
              <w:jc w:val="left"/>
              <w:rPr>
                <w:bCs/>
                <w:iCs/>
                <w:szCs w:val="20"/>
              </w:rPr>
            </w:pPr>
            <w:r w:rsidRPr="004870C7">
              <w:rPr>
                <w:bCs/>
                <w:iCs/>
                <w:szCs w:val="20"/>
              </w:rPr>
              <w:t>Energy Community Secretariat</w:t>
            </w:r>
          </w:p>
        </w:tc>
        <w:tc>
          <w:tcPr>
            <w:tcW w:w="6476" w:type="dxa"/>
            <w:shd w:val="clear" w:color="auto" w:fill="auto"/>
          </w:tcPr>
          <w:p w14:paraId="3E5CD92B" w14:textId="77777777" w:rsidR="00AB6F3E" w:rsidRPr="004870C7" w:rsidRDefault="00AB6F3E" w:rsidP="00AB6F3E">
            <w:pPr>
              <w:spacing w:after="0"/>
              <w:jc w:val="left"/>
              <w:rPr>
                <w:bCs/>
                <w:iCs/>
                <w:szCs w:val="20"/>
              </w:rPr>
            </w:pPr>
            <w:r w:rsidRPr="004870C7">
              <w:rPr>
                <w:bCs/>
                <w:iCs/>
                <w:szCs w:val="20"/>
              </w:rPr>
              <w:t xml:space="preserve">Source of legislative and policy support for energy and climate change action – development of the National Energy and Climate Plan (NECP). </w:t>
            </w:r>
          </w:p>
        </w:tc>
      </w:tr>
      <w:tr w:rsidR="00AB6F3E" w:rsidRPr="004870C7" w14:paraId="4D74CA9B" w14:textId="77777777" w:rsidTr="003A1253">
        <w:tc>
          <w:tcPr>
            <w:tcW w:w="4139" w:type="dxa"/>
            <w:shd w:val="clear" w:color="auto" w:fill="auto"/>
          </w:tcPr>
          <w:p w14:paraId="3586E142" w14:textId="77777777" w:rsidR="00AB6F3E" w:rsidRPr="004870C7" w:rsidRDefault="00AB6F3E" w:rsidP="00AB6F3E">
            <w:pPr>
              <w:spacing w:after="0"/>
              <w:jc w:val="left"/>
              <w:rPr>
                <w:bCs/>
                <w:iCs/>
                <w:szCs w:val="20"/>
              </w:rPr>
            </w:pPr>
            <w:r w:rsidRPr="004870C7">
              <w:rPr>
                <w:bCs/>
                <w:iCs/>
                <w:szCs w:val="20"/>
              </w:rPr>
              <w:t>Donor Community</w:t>
            </w:r>
          </w:p>
        </w:tc>
        <w:tc>
          <w:tcPr>
            <w:tcW w:w="6476" w:type="dxa"/>
            <w:shd w:val="clear" w:color="auto" w:fill="auto"/>
          </w:tcPr>
          <w:p w14:paraId="127C8130" w14:textId="71ACA222" w:rsidR="00AB6F3E" w:rsidRPr="004870C7" w:rsidRDefault="00AB6F3E" w:rsidP="00AB6F3E">
            <w:pPr>
              <w:spacing w:after="0"/>
              <w:jc w:val="left"/>
              <w:rPr>
                <w:bCs/>
                <w:iCs/>
                <w:szCs w:val="20"/>
              </w:rPr>
            </w:pPr>
            <w:r w:rsidRPr="004870C7">
              <w:rPr>
                <w:bCs/>
                <w:iCs/>
                <w:szCs w:val="20"/>
              </w:rPr>
              <w:t xml:space="preserve">Bilateral donors form a significant source of support for climate change-related capacity strengthening activities and multilateral donors support capacity strengthening and investments in climate change mitigation and adaptation. The project will liaise with the donor community on a regular basis throughout </w:t>
            </w:r>
            <w:r w:rsidR="007756CB" w:rsidRPr="004870C7">
              <w:rPr>
                <w:bCs/>
                <w:iCs/>
                <w:szCs w:val="20"/>
              </w:rPr>
              <w:t>orientation</w:t>
            </w:r>
            <w:r w:rsidRPr="004870C7">
              <w:rPr>
                <w:bCs/>
                <w:iCs/>
                <w:szCs w:val="20"/>
              </w:rPr>
              <w:t xml:space="preserve"> and will work with donors on the in-country reporting of financial resources received for climate change and on finance readiness and project pipelines screening.</w:t>
            </w:r>
          </w:p>
        </w:tc>
      </w:tr>
      <w:tr w:rsidR="00AB6F3E" w:rsidRPr="004870C7" w14:paraId="5B662CB1" w14:textId="77777777" w:rsidTr="003A1253">
        <w:tc>
          <w:tcPr>
            <w:tcW w:w="4139" w:type="dxa"/>
            <w:shd w:val="clear" w:color="auto" w:fill="auto"/>
          </w:tcPr>
          <w:p w14:paraId="148D70AE" w14:textId="77777777" w:rsidR="00AB6F3E" w:rsidRPr="004870C7" w:rsidRDefault="00AB6F3E" w:rsidP="00AB6F3E">
            <w:pPr>
              <w:spacing w:after="0"/>
              <w:jc w:val="left"/>
              <w:rPr>
                <w:bCs/>
                <w:iCs/>
                <w:szCs w:val="20"/>
              </w:rPr>
            </w:pPr>
            <w:r w:rsidRPr="004870C7">
              <w:rPr>
                <w:bCs/>
                <w:iCs/>
                <w:szCs w:val="20"/>
              </w:rPr>
              <w:t>Environmental NGOs</w:t>
            </w:r>
          </w:p>
        </w:tc>
        <w:tc>
          <w:tcPr>
            <w:tcW w:w="6476" w:type="dxa"/>
            <w:shd w:val="clear" w:color="auto" w:fill="auto"/>
          </w:tcPr>
          <w:p w14:paraId="11288AEC" w14:textId="77777777" w:rsidR="00AB6F3E" w:rsidRPr="004870C7" w:rsidRDefault="00AB6F3E" w:rsidP="00AB6F3E">
            <w:pPr>
              <w:spacing w:after="0"/>
              <w:jc w:val="left"/>
              <w:rPr>
                <w:bCs/>
                <w:iCs/>
                <w:szCs w:val="20"/>
              </w:rPr>
            </w:pPr>
            <w:r w:rsidRPr="004870C7">
              <w:rPr>
                <w:bCs/>
                <w:iCs/>
                <w:szCs w:val="20"/>
              </w:rPr>
              <w:t>The Coalition 27 (20 associated NGOs) is conceived as an open platform for joint monitoring and participation of civil society organizations in the process of representation and promotion of European attainments in the field of environment and climate change in Montenegro, which will contribute to the quality and transparency of the negotiation process through its activities, and in the long run, to institutional capacity building for those, taking care of the environment. The aim of the coalition is to contribute to the quality, transparency and faster implementation of EU requirements under Negotiating Chapter 27. Its expertise will take important role in all activities and participative process under the components 1-4.</w:t>
            </w:r>
          </w:p>
        </w:tc>
      </w:tr>
      <w:tr w:rsidR="00AB6F3E" w:rsidRPr="004870C7" w14:paraId="15C12A2B" w14:textId="77777777" w:rsidTr="003A1253">
        <w:tc>
          <w:tcPr>
            <w:tcW w:w="4139" w:type="dxa"/>
            <w:shd w:val="clear" w:color="auto" w:fill="auto"/>
          </w:tcPr>
          <w:p w14:paraId="79CD5B8A" w14:textId="77777777" w:rsidR="00AB6F3E" w:rsidRPr="004870C7" w:rsidRDefault="00AB6F3E" w:rsidP="00AB6F3E">
            <w:pPr>
              <w:spacing w:after="0"/>
              <w:jc w:val="left"/>
              <w:rPr>
                <w:bCs/>
                <w:iCs/>
                <w:szCs w:val="20"/>
              </w:rPr>
            </w:pPr>
            <w:r w:rsidRPr="004870C7">
              <w:rPr>
                <w:bCs/>
                <w:iCs/>
                <w:szCs w:val="20"/>
              </w:rPr>
              <w:t>NGOs working on empowerment of women and marginalised groups</w:t>
            </w:r>
          </w:p>
        </w:tc>
        <w:tc>
          <w:tcPr>
            <w:tcW w:w="6476" w:type="dxa"/>
            <w:shd w:val="clear" w:color="auto" w:fill="auto"/>
          </w:tcPr>
          <w:p w14:paraId="563DA3C9" w14:textId="77777777" w:rsidR="00AB6F3E" w:rsidRPr="004870C7" w:rsidRDefault="00AB6F3E" w:rsidP="00AB6F3E">
            <w:pPr>
              <w:spacing w:after="0"/>
              <w:jc w:val="left"/>
              <w:rPr>
                <w:bCs/>
                <w:iCs/>
                <w:szCs w:val="20"/>
              </w:rPr>
            </w:pPr>
            <w:r w:rsidRPr="004870C7">
              <w:rPr>
                <w:bCs/>
                <w:iCs/>
                <w:szCs w:val="20"/>
              </w:rPr>
              <w:t>NGOs working on empowerment of women and marginalised groups will take important role in all activities and participative process under the components 1-4.</w:t>
            </w:r>
          </w:p>
        </w:tc>
      </w:tr>
    </w:tbl>
    <w:p w14:paraId="2E7B666D" w14:textId="77777777" w:rsidR="00AB6F3E" w:rsidRPr="004870C7" w:rsidRDefault="00AB6F3E" w:rsidP="00AB6F3E">
      <w:pPr>
        <w:spacing w:after="0"/>
        <w:jc w:val="left"/>
        <w:rPr>
          <w:bCs/>
          <w:iCs/>
          <w:szCs w:val="20"/>
        </w:rPr>
      </w:pPr>
    </w:p>
    <w:p w14:paraId="4F151CEB" w14:textId="77777777" w:rsidR="00AB6F3E" w:rsidRPr="004870C7" w:rsidRDefault="00AB6F3E" w:rsidP="00AB6F3E">
      <w:pPr>
        <w:spacing w:after="0"/>
        <w:rPr>
          <w:bCs/>
          <w:iCs/>
          <w:szCs w:val="20"/>
        </w:rPr>
      </w:pPr>
      <w:r w:rsidRPr="004870C7">
        <w:rPr>
          <w:bCs/>
          <w:iCs/>
          <w:szCs w:val="20"/>
        </w:rPr>
        <w:t>A preliminary Stakeholder engagement plan envisage the following meetings:</w:t>
      </w:r>
    </w:p>
    <w:p w14:paraId="78033B7C" w14:textId="77777777" w:rsidR="00AB6F3E" w:rsidRPr="004870C7" w:rsidRDefault="00AB6F3E" w:rsidP="00FA41FE">
      <w:pPr>
        <w:numPr>
          <w:ilvl w:val="0"/>
          <w:numId w:val="36"/>
        </w:numPr>
        <w:spacing w:after="0"/>
        <w:rPr>
          <w:bCs/>
          <w:iCs/>
          <w:szCs w:val="20"/>
        </w:rPr>
      </w:pPr>
      <w:r w:rsidRPr="004870C7">
        <w:rPr>
          <w:bCs/>
          <w:iCs/>
          <w:szCs w:val="20"/>
        </w:rPr>
        <w:t>Inception workshop to discuss conceptual framework and design for each chapter and to highlight any prevailing challenges to data acquisition and sharing, monitoring assessment and reporting;</w:t>
      </w:r>
    </w:p>
    <w:p w14:paraId="2F0DF544" w14:textId="77777777" w:rsidR="00AB6F3E" w:rsidRPr="004870C7" w:rsidRDefault="00AB6F3E" w:rsidP="00FA41FE">
      <w:pPr>
        <w:numPr>
          <w:ilvl w:val="0"/>
          <w:numId w:val="36"/>
        </w:numPr>
        <w:spacing w:after="0"/>
        <w:rPr>
          <w:bCs/>
          <w:iCs/>
          <w:szCs w:val="20"/>
        </w:rPr>
      </w:pPr>
      <w:r w:rsidRPr="004870C7">
        <w:rPr>
          <w:bCs/>
          <w:iCs/>
          <w:szCs w:val="20"/>
        </w:rPr>
        <w:t>Validation workshops to discuss results and validate accuracy of the analyses;</w:t>
      </w:r>
    </w:p>
    <w:p w14:paraId="4586F6DD" w14:textId="77777777" w:rsidR="00AB6F3E" w:rsidRPr="004870C7" w:rsidRDefault="00AB6F3E" w:rsidP="00FA41FE">
      <w:pPr>
        <w:numPr>
          <w:ilvl w:val="0"/>
          <w:numId w:val="36"/>
        </w:numPr>
        <w:spacing w:after="0"/>
        <w:rPr>
          <w:bCs/>
          <w:iCs/>
          <w:szCs w:val="20"/>
        </w:rPr>
      </w:pPr>
      <w:r w:rsidRPr="004870C7">
        <w:rPr>
          <w:bCs/>
          <w:iCs/>
          <w:szCs w:val="20"/>
        </w:rPr>
        <w:t>Individual meetings with sector representatives;</w:t>
      </w:r>
    </w:p>
    <w:p w14:paraId="65B948DC" w14:textId="77777777" w:rsidR="00AB6F3E" w:rsidRPr="004870C7" w:rsidRDefault="00AB6F3E" w:rsidP="00FA41FE">
      <w:pPr>
        <w:numPr>
          <w:ilvl w:val="0"/>
          <w:numId w:val="36"/>
        </w:numPr>
        <w:spacing w:after="0"/>
        <w:rPr>
          <w:bCs/>
          <w:iCs/>
          <w:szCs w:val="20"/>
        </w:rPr>
      </w:pPr>
      <w:r w:rsidRPr="004870C7">
        <w:rPr>
          <w:bCs/>
          <w:iCs/>
          <w:szCs w:val="20"/>
        </w:rPr>
        <w:t>Group discussions to solicit ideas, create synergies and opportunities for networking, knowledge sharing and joint actions;</w:t>
      </w:r>
    </w:p>
    <w:p w14:paraId="102D1231" w14:textId="77777777" w:rsidR="00AB6F3E" w:rsidRPr="004870C7" w:rsidRDefault="00AB6F3E" w:rsidP="00FA41FE">
      <w:pPr>
        <w:numPr>
          <w:ilvl w:val="0"/>
          <w:numId w:val="36"/>
        </w:numPr>
        <w:spacing w:after="0"/>
        <w:rPr>
          <w:bCs/>
          <w:iCs/>
          <w:szCs w:val="20"/>
        </w:rPr>
      </w:pPr>
      <w:r w:rsidRPr="004870C7">
        <w:rPr>
          <w:bCs/>
          <w:iCs/>
          <w:szCs w:val="20"/>
        </w:rPr>
        <w:lastRenderedPageBreak/>
        <w:t>Final dissemination workshop to discuss findings, raise awareness and reinforce collaboration and networking.</w:t>
      </w:r>
    </w:p>
    <w:p w14:paraId="2C1F955A" w14:textId="77777777" w:rsidR="00AB6F3E" w:rsidRPr="004870C7" w:rsidRDefault="00AB6F3E" w:rsidP="00AB6F3E">
      <w:pPr>
        <w:spacing w:after="0"/>
        <w:rPr>
          <w:bCs/>
          <w:iCs/>
          <w:szCs w:val="20"/>
        </w:rPr>
      </w:pPr>
    </w:p>
    <w:p w14:paraId="52B17656" w14:textId="77777777" w:rsidR="00AB6F3E" w:rsidRPr="004870C7" w:rsidRDefault="00AB6F3E" w:rsidP="00AB6F3E">
      <w:pPr>
        <w:spacing w:after="0"/>
        <w:rPr>
          <w:bCs/>
          <w:iCs/>
          <w:szCs w:val="20"/>
        </w:rPr>
      </w:pPr>
      <w:r w:rsidRPr="004870C7">
        <w:rPr>
          <w:bCs/>
          <w:iCs/>
          <w:szCs w:val="20"/>
        </w:rPr>
        <w:t>Stakeholder engagement plan will include measures in order to manage risks that the Covid-19 pandemic and the possible reinstatement of containment measures pose on the mobility and engagement of both project staff and stakeholders.  Project will employ videoconferencing equipment/tools for virtual meetings and workshops, revise workplan, apply social distancing and provide personal protective equipment (PPE) to prevent exposure among project staff, stakeholders and participants as and when necessary. Budget will be included for IT support and PPE accordingly.</w:t>
      </w:r>
    </w:p>
    <w:p w14:paraId="7D159682" w14:textId="77777777" w:rsidR="00AB6F3E" w:rsidRPr="004870C7" w:rsidRDefault="00AB6F3E" w:rsidP="00AB6F3E">
      <w:pPr>
        <w:spacing w:after="0"/>
        <w:rPr>
          <w:bCs/>
          <w:iCs/>
          <w:szCs w:val="20"/>
        </w:rPr>
      </w:pPr>
    </w:p>
    <w:p w14:paraId="403BEE31" w14:textId="77777777" w:rsidR="00AB6F3E" w:rsidRPr="004870C7" w:rsidRDefault="00AB6F3E" w:rsidP="00AB6F3E">
      <w:pPr>
        <w:spacing w:after="0"/>
        <w:rPr>
          <w:bCs/>
          <w:iCs/>
          <w:szCs w:val="20"/>
        </w:rPr>
      </w:pPr>
      <w:r w:rsidRPr="004870C7">
        <w:rPr>
          <w:bCs/>
          <w:iCs/>
          <w:szCs w:val="20"/>
        </w:rPr>
        <w:t>The impact of the Covid-19 on the project progress will be closely monitored and the adaptive management will be used to minimise, and address impacts it may have on the availability of technical expertise, capacity and changes in timelines.  Project will focus on strengthening capacity and experience for remote work and online interactions as well as limited remote data and information access.</w:t>
      </w:r>
    </w:p>
    <w:p w14:paraId="46AADC1D" w14:textId="77777777" w:rsidR="00AB6F3E" w:rsidRPr="004870C7" w:rsidRDefault="00AB6F3E" w:rsidP="00EA1F5A">
      <w:pPr>
        <w:spacing w:after="0"/>
        <w:jc w:val="left"/>
        <w:rPr>
          <w:rFonts w:cs="Calibri"/>
          <w:bCs/>
          <w:iCs/>
          <w:szCs w:val="20"/>
        </w:rPr>
      </w:pPr>
    </w:p>
    <w:p w14:paraId="4FA0E614" w14:textId="538E2587" w:rsidR="00EA1F5A" w:rsidRPr="004870C7" w:rsidRDefault="00EA1F5A" w:rsidP="00EA1F5A">
      <w:pPr>
        <w:spacing w:after="0"/>
        <w:jc w:val="left"/>
        <w:rPr>
          <w:rFonts w:cs="Calibri"/>
          <w:b/>
          <w:bCs/>
          <w:szCs w:val="20"/>
        </w:rPr>
      </w:pPr>
    </w:p>
    <w:p w14:paraId="0E092D25" w14:textId="77777777" w:rsidR="00FB4CDA" w:rsidRDefault="00FB4CDA">
      <w:pPr>
        <w:spacing w:after="0"/>
        <w:jc w:val="left"/>
        <w:rPr>
          <w:rFonts w:asciiTheme="minorHAnsi" w:hAnsiTheme="minorHAnsi" w:cstheme="minorHAnsi"/>
          <w:b/>
          <w:bCs/>
          <w:sz w:val="22"/>
          <w:szCs w:val="22"/>
        </w:rPr>
      </w:pPr>
      <w:r>
        <w:rPr>
          <w:rFonts w:asciiTheme="minorHAnsi" w:hAnsiTheme="minorHAnsi" w:cstheme="minorHAnsi"/>
          <w:sz w:val="22"/>
          <w:szCs w:val="22"/>
        </w:rPr>
        <w:br w:type="page"/>
      </w:r>
    </w:p>
    <w:p w14:paraId="54D405AB" w14:textId="7A724D37" w:rsidR="00714748" w:rsidRPr="004870C7" w:rsidRDefault="006946F3" w:rsidP="008223E5">
      <w:pPr>
        <w:pStyle w:val="Heading2"/>
        <w:ind w:left="0"/>
        <w:rPr>
          <w:rFonts w:asciiTheme="minorHAnsi" w:hAnsiTheme="minorHAnsi" w:cstheme="minorHAnsi"/>
          <w:sz w:val="22"/>
          <w:szCs w:val="22"/>
        </w:rPr>
      </w:pPr>
      <w:bookmarkStart w:id="36" w:name="_Toc75965565"/>
      <w:r w:rsidRPr="004870C7">
        <w:rPr>
          <w:rFonts w:asciiTheme="minorHAnsi" w:hAnsiTheme="minorHAnsi" w:cstheme="minorHAnsi"/>
          <w:sz w:val="22"/>
          <w:szCs w:val="22"/>
        </w:rPr>
        <w:lastRenderedPageBreak/>
        <w:t xml:space="preserve">Annex </w:t>
      </w:r>
      <w:r w:rsidR="0015330A" w:rsidRPr="004870C7">
        <w:rPr>
          <w:rFonts w:asciiTheme="minorHAnsi" w:hAnsiTheme="minorHAnsi" w:cstheme="minorHAnsi"/>
          <w:sz w:val="22"/>
          <w:szCs w:val="22"/>
        </w:rPr>
        <w:t>9</w:t>
      </w:r>
      <w:r w:rsidRPr="004870C7">
        <w:rPr>
          <w:rFonts w:asciiTheme="minorHAnsi" w:hAnsiTheme="minorHAnsi" w:cstheme="minorHAnsi"/>
          <w:sz w:val="22"/>
          <w:szCs w:val="22"/>
        </w:rPr>
        <w:t xml:space="preserve">: </w:t>
      </w:r>
      <w:r w:rsidR="00714748" w:rsidRPr="004870C7">
        <w:rPr>
          <w:rFonts w:asciiTheme="minorHAnsi" w:hAnsiTheme="minorHAnsi" w:cstheme="minorHAnsi"/>
          <w:sz w:val="22"/>
          <w:szCs w:val="22"/>
        </w:rPr>
        <w:t>Gender Analysis and Gender Action Plan</w:t>
      </w:r>
      <w:bookmarkEnd w:id="36"/>
      <w:r w:rsidR="00714748" w:rsidRPr="004870C7">
        <w:rPr>
          <w:rFonts w:asciiTheme="minorHAnsi" w:hAnsiTheme="minorHAnsi" w:cstheme="minorHAnsi"/>
          <w:sz w:val="22"/>
          <w:szCs w:val="22"/>
        </w:rPr>
        <w:t xml:space="preserve"> </w:t>
      </w:r>
    </w:p>
    <w:p w14:paraId="636DD909" w14:textId="03420BA0" w:rsidR="00676623" w:rsidRPr="004870C7" w:rsidRDefault="00676623" w:rsidP="00676623"/>
    <w:p w14:paraId="17C4ACAE" w14:textId="7A576ACA" w:rsidR="00676623" w:rsidRPr="004870C7" w:rsidRDefault="00676623" w:rsidP="00676623">
      <w:r w:rsidRPr="004870C7">
        <w:t>When analyzing interrelations between gender equality and climate change, it is important to look at the national policies for gender equality and sectorial policies (energy, transport, agriculture, waste management, financing of businesses, disaster risk reduction, etc.) to asses which policies are gender-sensitive and include considerations regarding vulnerable social groups. It is also important to understand how climate actions can contribute to gender. i.e. to consider responsiveness of mitigation and adaptation policies.</w:t>
      </w:r>
    </w:p>
    <w:p w14:paraId="00CC7E4B" w14:textId="77777777" w:rsidR="00676623" w:rsidRPr="004870C7" w:rsidRDefault="00676623" w:rsidP="00676623">
      <w:pPr>
        <w:rPr>
          <w:rFonts w:cs="Times"/>
        </w:rPr>
      </w:pPr>
      <w:r w:rsidRPr="004870C7">
        <w:t>The country ratified various international treaties, like the UN Convention on Elimination of All Forms of Discrimination against Women (CEDAW)</w:t>
      </w:r>
      <w:r w:rsidRPr="004870C7">
        <w:rPr>
          <w:rStyle w:val="FootnoteReference"/>
        </w:rPr>
        <w:footnoteReference w:id="12"/>
      </w:r>
      <w:r w:rsidRPr="004870C7">
        <w:t xml:space="preserve"> and the United Nations Framework Convention on Climate Change (UNFCCC) that promote a gender-sensitive approach and encourage the signatory countries to mainstream gender into national sustainable development and climate change policies. The Paris Agreement, ratified by Montenegro in October 2017 also obliges the signatories to take into account the different needs of women and men, their way of life and their ability to adapt to climate change when planning climate change adaptation measures. It is also necessary that States set up their administrative capacities in order to be able to define responses to climate change, which will be in line with the specific needs of women and men</w:t>
      </w:r>
      <w:r w:rsidRPr="004870C7">
        <w:rPr>
          <w:rStyle w:val="FootnoteReference"/>
          <w:rFonts w:cs="Times"/>
        </w:rPr>
        <w:footnoteReference w:id="13"/>
      </w:r>
      <w:r w:rsidRPr="004870C7">
        <w:rPr>
          <w:rFonts w:cs="Times"/>
        </w:rPr>
        <w:t xml:space="preserve">. </w:t>
      </w:r>
    </w:p>
    <w:p w14:paraId="474C3506" w14:textId="77777777" w:rsidR="00B64B69" w:rsidRDefault="00676623" w:rsidP="00676623">
      <w:pPr>
        <w:rPr>
          <w:color w:val="222222"/>
          <w:shd w:val="clear" w:color="auto" w:fill="FFFFFF"/>
        </w:rPr>
      </w:pPr>
      <w:r w:rsidRPr="004870C7">
        <w:rPr>
          <w:color w:val="222222"/>
          <w:shd w:val="clear" w:color="auto" w:fill="FFFFFF"/>
        </w:rPr>
        <w:t xml:space="preserve">Although the Article 2 of the Law on Gender Equality stipulates an equal representation of women and men in all areas of public and private sectors, Montenegro does not have a dedicated policy or a decision related to balanced participation of women and men in climate policies, actions and negotiations. This is mainly due to the lack of institutional awareness and capacity to intersect the two policies. </w:t>
      </w:r>
    </w:p>
    <w:p w14:paraId="34756039" w14:textId="06535E10" w:rsidR="00676623" w:rsidRPr="004870C7" w:rsidRDefault="00676623" w:rsidP="00676623">
      <w:pPr>
        <w:rPr>
          <w:color w:val="222222"/>
          <w:shd w:val="clear" w:color="auto" w:fill="FFFFFF"/>
        </w:rPr>
      </w:pPr>
      <w:r w:rsidRPr="004870C7">
        <w:rPr>
          <w:color w:val="222222"/>
          <w:shd w:val="clear" w:color="auto" w:fill="FFFFFF"/>
        </w:rPr>
        <w:t>Some positive developments happened in the period 2017-2020, when Montenegro participated in UNDP/UNEP Global Support Program (GSP) pilot for 5 Balkan countries and Lebanon</w:t>
      </w:r>
      <w:r w:rsidRPr="004870C7">
        <w:rPr>
          <w:rStyle w:val="FootnoteReference"/>
          <w:color w:val="222222"/>
          <w:shd w:val="clear" w:color="auto" w:fill="FFFFFF"/>
        </w:rPr>
        <w:footnoteReference w:id="14"/>
      </w:r>
      <w:r w:rsidRPr="004870C7">
        <w:rPr>
          <w:color w:val="222222"/>
          <w:shd w:val="clear" w:color="auto" w:fill="FFFFFF"/>
        </w:rPr>
        <w:t xml:space="preserve"> that was aimed at building capacities of pilot countries to integrate gender in the MRV, following the main priorities of UNFCCC Gender Action Plan. </w:t>
      </w:r>
    </w:p>
    <w:p w14:paraId="15F9393C" w14:textId="77777777" w:rsidR="00676623" w:rsidRPr="004870C7" w:rsidRDefault="00676623" w:rsidP="00676623">
      <w:pPr>
        <w:rPr>
          <w:color w:val="222222"/>
          <w:szCs w:val="20"/>
          <w:shd w:val="clear" w:color="auto" w:fill="FFFFFF"/>
        </w:rPr>
      </w:pPr>
      <w:r w:rsidRPr="004870C7">
        <w:rPr>
          <w:color w:val="222222"/>
          <w:szCs w:val="20"/>
          <w:shd w:val="clear" w:color="auto" w:fill="FFFFFF"/>
        </w:rPr>
        <w:t>Two remarkable improvements happened as a result of this program, which are:</w:t>
      </w:r>
    </w:p>
    <w:p w14:paraId="15157410" w14:textId="77777777" w:rsidR="00676623" w:rsidRPr="004870C7" w:rsidRDefault="00676623" w:rsidP="00FA41FE">
      <w:pPr>
        <w:pStyle w:val="ListParagraph"/>
        <w:numPr>
          <w:ilvl w:val="0"/>
          <w:numId w:val="37"/>
        </w:numPr>
        <w:contextualSpacing/>
        <w:jc w:val="both"/>
        <w:rPr>
          <w:rFonts w:ascii="Calibri" w:hAnsi="Calibri"/>
          <w:color w:val="222222"/>
          <w:sz w:val="20"/>
          <w:szCs w:val="20"/>
          <w:shd w:val="clear" w:color="auto" w:fill="FFFFFF"/>
        </w:rPr>
      </w:pPr>
      <w:r w:rsidRPr="004870C7">
        <w:rPr>
          <w:rFonts w:ascii="Calibri" w:hAnsi="Calibri"/>
          <w:color w:val="222222"/>
          <w:sz w:val="20"/>
          <w:szCs w:val="20"/>
          <w:shd w:val="clear" w:color="auto" w:fill="FFFFFF"/>
        </w:rPr>
        <w:t>Gender focal point for UNFCCC (representative of the Ministry for Sustainable Development and Tourism</w:t>
      </w:r>
      <w:r w:rsidRPr="004870C7">
        <w:rPr>
          <w:rStyle w:val="FootnoteReference"/>
          <w:rFonts w:ascii="Calibri" w:hAnsi="Calibri"/>
          <w:color w:val="222222"/>
          <w:sz w:val="20"/>
          <w:szCs w:val="20"/>
          <w:shd w:val="clear" w:color="auto" w:fill="FFFFFF"/>
        </w:rPr>
        <w:footnoteReference w:id="15"/>
      </w:r>
      <w:r w:rsidRPr="004870C7">
        <w:rPr>
          <w:rFonts w:ascii="Calibri" w:hAnsi="Calibri"/>
          <w:color w:val="222222"/>
          <w:sz w:val="20"/>
          <w:szCs w:val="20"/>
          <w:shd w:val="clear" w:color="auto" w:fill="FFFFFF"/>
        </w:rPr>
        <w:t>) has been nominated;</w:t>
      </w:r>
    </w:p>
    <w:p w14:paraId="7312454E" w14:textId="77777777" w:rsidR="00676623" w:rsidRPr="004870C7" w:rsidRDefault="00676623" w:rsidP="00FA41FE">
      <w:pPr>
        <w:pStyle w:val="ListParagraph"/>
        <w:numPr>
          <w:ilvl w:val="0"/>
          <w:numId w:val="37"/>
        </w:numPr>
        <w:contextualSpacing/>
        <w:jc w:val="both"/>
        <w:rPr>
          <w:rFonts w:ascii="Calibri" w:hAnsi="Calibri"/>
          <w:color w:val="222222"/>
          <w:sz w:val="20"/>
          <w:szCs w:val="20"/>
          <w:shd w:val="clear" w:color="auto" w:fill="FFFFFF"/>
        </w:rPr>
      </w:pPr>
      <w:r w:rsidRPr="004870C7">
        <w:rPr>
          <w:rFonts w:ascii="Calibri" w:hAnsi="Calibri"/>
          <w:color w:val="222222"/>
          <w:sz w:val="20"/>
          <w:szCs w:val="20"/>
          <w:shd w:val="clear" w:color="auto" w:fill="FFFFFF"/>
        </w:rPr>
        <w:t xml:space="preserve">Gender and Climate Change Action Plan as a framework for intersecting the two policies has been developed as a cooperative effort of the Ministry for Sustainable Development and Tourism and the Ministry for Human and Minority Rights (coordinating institution for gender equality policies). </w:t>
      </w:r>
    </w:p>
    <w:p w14:paraId="1EF9A3B8" w14:textId="77777777" w:rsidR="00676623" w:rsidRPr="007F24D7" w:rsidRDefault="00676623" w:rsidP="00676623">
      <w:pPr>
        <w:rPr>
          <w:rFonts w:cs="Calibri"/>
          <w:color w:val="222222"/>
          <w:szCs w:val="20"/>
          <w:shd w:val="clear" w:color="auto" w:fill="FFFFFF"/>
        </w:rPr>
      </w:pPr>
    </w:p>
    <w:p w14:paraId="3250A39D" w14:textId="65B62234" w:rsidR="00676623" w:rsidRPr="007F24D7" w:rsidRDefault="00676623" w:rsidP="00676623">
      <w:pPr>
        <w:rPr>
          <w:rFonts w:cs="Calibri"/>
          <w:color w:val="222222"/>
          <w:szCs w:val="20"/>
          <w:shd w:val="clear" w:color="auto" w:fill="FFFFFF"/>
        </w:rPr>
      </w:pPr>
      <w:r w:rsidRPr="007F24D7">
        <w:rPr>
          <w:rFonts w:cs="Calibri"/>
          <w:color w:val="222222"/>
          <w:szCs w:val="20"/>
          <w:shd w:val="clear" w:color="auto" w:fill="FFFFFF"/>
        </w:rPr>
        <w:t xml:space="preserve">The Gender and Climate Change Action Plan identified the three main objectives: </w:t>
      </w:r>
    </w:p>
    <w:p w14:paraId="029751B5" w14:textId="58C2E488" w:rsidR="00676623" w:rsidRPr="001742F8" w:rsidRDefault="00676623" w:rsidP="00752B12">
      <w:pPr>
        <w:pStyle w:val="ListParagraph"/>
        <w:numPr>
          <w:ilvl w:val="0"/>
          <w:numId w:val="38"/>
        </w:numPr>
        <w:contextualSpacing/>
        <w:jc w:val="both"/>
        <w:rPr>
          <w:szCs w:val="20"/>
        </w:rPr>
      </w:pPr>
      <w:r w:rsidRPr="007F24D7">
        <w:rPr>
          <w:rFonts w:ascii="Calibri" w:hAnsi="Calibri" w:cs="Calibri"/>
          <w:sz w:val="20"/>
          <w:szCs w:val="20"/>
        </w:rPr>
        <w:t>Improvement of climate change legislation and policy documents (strategies and by-laws) by introducing a gender perspective, as well as to introduce climate change perspective in policy documents related to gender equality. This priority will be financed from the state budget and it is expected that the new Program for Gender Equality 2021-2026 incorporates measures related to gender and climate change. Ministry for</w:t>
      </w:r>
      <w:r w:rsidRPr="001742F8">
        <w:rPr>
          <w:rFonts w:ascii="Calibri" w:hAnsi="Calibri"/>
          <w:sz w:val="20"/>
          <w:szCs w:val="20"/>
        </w:rPr>
        <w:t xml:space="preserve"> Human and Minority Rights will coordinate the process.</w:t>
      </w:r>
    </w:p>
    <w:p w14:paraId="02264C5F" w14:textId="77777777" w:rsidR="00676623" w:rsidRPr="004870C7" w:rsidRDefault="00676623" w:rsidP="00FA41FE">
      <w:pPr>
        <w:pStyle w:val="ListParagraph"/>
        <w:numPr>
          <w:ilvl w:val="0"/>
          <w:numId w:val="38"/>
        </w:numPr>
        <w:contextualSpacing/>
        <w:jc w:val="both"/>
        <w:rPr>
          <w:rFonts w:ascii="Calibri" w:hAnsi="Calibri"/>
          <w:sz w:val="20"/>
          <w:szCs w:val="20"/>
        </w:rPr>
      </w:pPr>
      <w:r w:rsidRPr="004870C7">
        <w:rPr>
          <w:rFonts w:ascii="Calibri" w:hAnsi="Calibri"/>
          <w:sz w:val="20"/>
          <w:szCs w:val="20"/>
        </w:rPr>
        <w:t>Strengthening of national institutions to mainstream gender into the climate change transparency framework. This priority incorporates three steps and it is expected that the first and second will be financed through CBIT and the main role will be played by the Ministry for Sustainable Development and Tourism:</w:t>
      </w:r>
    </w:p>
    <w:p w14:paraId="124C9429" w14:textId="77777777" w:rsidR="00676623" w:rsidRPr="004870C7" w:rsidRDefault="00676623" w:rsidP="00676623">
      <w:pPr>
        <w:rPr>
          <w:szCs w:val="20"/>
        </w:rPr>
      </w:pPr>
    </w:p>
    <w:p w14:paraId="1EDCA37C" w14:textId="77777777" w:rsidR="00676623" w:rsidRPr="004870C7" w:rsidRDefault="00676623" w:rsidP="00FA41FE">
      <w:pPr>
        <w:pStyle w:val="ListParagraph"/>
        <w:numPr>
          <w:ilvl w:val="1"/>
          <w:numId w:val="38"/>
        </w:numPr>
        <w:contextualSpacing/>
        <w:jc w:val="both"/>
        <w:rPr>
          <w:rFonts w:ascii="Calibri" w:hAnsi="Calibri"/>
          <w:sz w:val="20"/>
          <w:szCs w:val="20"/>
        </w:rPr>
      </w:pPr>
      <w:r w:rsidRPr="004870C7">
        <w:rPr>
          <w:rFonts w:ascii="Calibri" w:hAnsi="Calibri"/>
          <w:sz w:val="20"/>
          <w:szCs w:val="20"/>
        </w:rPr>
        <w:t xml:space="preserve">assessment of the capacities of institution to interlink gender and climate change </w:t>
      </w:r>
    </w:p>
    <w:p w14:paraId="11789FEA" w14:textId="77777777" w:rsidR="00676623" w:rsidRPr="004870C7" w:rsidRDefault="00676623" w:rsidP="00FA41FE">
      <w:pPr>
        <w:pStyle w:val="ListParagraph"/>
        <w:numPr>
          <w:ilvl w:val="1"/>
          <w:numId w:val="38"/>
        </w:numPr>
        <w:contextualSpacing/>
        <w:jc w:val="both"/>
        <w:rPr>
          <w:rFonts w:ascii="Calibri" w:hAnsi="Calibri"/>
          <w:sz w:val="20"/>
          <w:szCs w:val="20"/>
        </w:rPr>
      </w:pPr>
      <w:r w:rsidRPr="004870C7">
        <w:rPr>
          <w:rFonts w:ascii="Calibri" w:hAnsi="Calibri"/>
          <w:sz w:val="20"/>
          <w:szCs w:val="20"/>
        </w:rPr>
        <w:t>a set of trainings on gender and climate change</w:t>
      </w:r>
    </w:p>
    <w:p w14:paraId="5B9B896E" w14:textId="77777777" w:rsidR="00676623" w:rsidRPr="004870C7" w:rsidRDefault="00676623" w:rsidP="00FA41FE">
      <w:pPr>
        <w:pStyle w:val="ListParagraph"/>
        <w:numPr>
          <w:ilvl w:val="1"/>
          <w:numId w:val="38"/>
        </w:numPr>
        <w:contextualSpacing/>
        <w:jc w:val="both"/>
        <w:rPr>
          <w:rFonts w:ascii="Calibri" w:hAnsi="Calibri"/>
          <w:sz w:val="20"/>
          <w:szCs w:val="20"/>
        </w:rPr>
      </w:pPr>
      <w:r w:rsidRPr="004870C7">
        <w:rPr>
          <w:rFonts w:ascii="Calibri" w:hAnsi="Calibri"/>
          <w:sz w:val="20"/>
          <w:szCs w:val="20"/>
        </w:rPr>
        <w:lastRenderedPageBreak/>
        <w:t>nomination of gender representative into Working Group on Climate Change within the National Council for Sustainable Development.</w:t>
      </w:r>
    </w:p>
    <w:p w14:paraId="78F42E5A" w14:textId="77777777" w:rsidR="00676623" w:rsidRPr="004870C7" w:rsidRDefault="00676623" w:rsidP="00676623">
      <w:pPr>
        <w:rPr>
          <w:szCs w:val="20"/>
        </w:rPr>
      </w:pPr>
    </w:p>
    <w:p w14:paraId="06A8D168" w14:textId="1B3FF32C" w:rsidR="00676623" w:rsidRPr="004870C7" w:rsidRDefault="00676623" w:rsidP="00676623">
      <w:pPr>
        <w:rPr>
          <w:szCs w:val="20"/>
        </w:rPr>
      </w:pPr>
      <w:r w:rsidRPr="004870C7">
        <w:rPr>
          <w:szCs w:val="20"/>
        </w:rPr>
        <w:t>Improvement of the system of collection and analysis of sex-disaggregated data and gender data relevant for MRV and transparency. Financing of activities within this priority is also expected from CBIT</w:t>
      </w:r>
      <w:r w:rsidRPr="004870C7">
        <w:rPr>
          <w:rStyle w:val="FootnoteReference"/>
          <w:rFonts w:ascii="Calibri" w:hAnsi="Calibri"/>
          <w:sz w:val="20"/>
          <w:szCs w:val="20"/>
        </w:rPr>
        <w:footnoteReference w:id="16"/>
      </w:r>
      <w:r w:rsidRPr="004870C7">
        <w:rPr>
          <w:szCs w:val="20"/>
        </w:rPr>
        <w:t>.</w:t>
      </w:r>
    </w:p>
    <w:p w14:paraId="7F609527" w14:textId="44C6B8D9" w:rsidR="00676623" w:rsidRDefault="00676623" w:rsidP="00676623">
      <w:pPr>
        <w:rPr>
          <w:szCs w:val="20"/>
        </w:rPr>
      </w:pPr>
    </w:p>
    <w:p w14:paraId="16AE4642" w14:textId="131E42C2" w:rsidR="007F24D7" w:rsidRPr="004870C7" w:rsidRDefault="007F24D7" w:rsidP="00676623">
      <w:pPr>
        <w:rPr>
          <w:szCs w:val="20"/>
        </w:rPr>
      </w:pPr>
      <w:r>
        <w:rPr>
          <w:szCs w:val="20"/>
        </w:rPr>
        <w:t xml:space="preserve">More detailed Gender Action Plan will be developed during inception phase. </w:t>
      </w:r>
    </w:p>
    <w:p w14:paraId="7A882744" w14:textId="77777777" w:rsidR="00676623" w:rsidRPr="004870C7" w:rsidRDefault="00676623" w:rsidP="00676623">
      <w:pPr>
        <w:rPr>
          <w:szCs w:val="20"/>
        </w:rPr>
      </w:pPr>
    </w:p>
    <w:p w14:paraId="128BA05F" w14:textId="11942665" w:rsidR="00676623" w:rsidRPr="004870C7" w:rsidRDefault="00676623" w:rsidP="00676623">
      <w:pPr>
        <w:rPr>
          <w:szCs w:val="20"/>
        </w:rPr>
      </w:pPr>
    </w:p>
    <w:p w14:paraId="7B91A7E9" w14:textId="1DE390D4" w:rsidR="00676623" w:rsidRPr="004870C7" w:rsidRDefault="00676623" w:rsidP="00676623">
      <w:pPr>
        <w:rPr>
          <w:szCs w:val="20"/>
        </w:rPr>
      </w:pPr>
    </w:p>
    <w:p w14:paraId="3E37E02B" w14:textId="009FB295" w:rsidR="00676623" w:rsidRPr="004870C7" w:rsidRDefault="00676623" w:rsidP="00676623">
      <w:pPr>
        <w:rPr>
          <w:szCs w:val="20"/>
        </w:rPr>
      </w:pPr>
    </w:p>
    <w:p w14:paraId="0992B342" w14:textId="77777777" w:rsidR="00676623" w:rsidRPr="004870C7" w:rsidRDefault="00676623" w:rsidP="00676623">
      <w:pPr>
        <w:rPr>
          <w:szCs w:val="20"/>
        </w:rPr>
      </w:pPr>
    </w:p>
    <w:p w14:paraId="1F01AF27" w14:textId="2B754D88" w:rsidR="00676623" w:rsidRPr="004870C7" w:rsidRDefault="00676623" w:rsidP="00676623"/>
    <w:p w14:paraId="4E2C17C6" w14:textId="0C98D7B5" w:rsidR="008B6F28" w:rsidRPr="004870C7" w:rsidRDefault="008B6F28" w:rsidP="00676623"/>
    <w:p w14:paraId="5E97E6E3" w14:textId="3CAD46E2" w:rsidR="008B6F28" w:rsidRPr="004870C7" w:rsidRDefault="008B6F28" w:rsidP="00676623"/>
    <w:p w14:paraId="5E8517DA" w14:textId="5A035B30" w:rsidR="008B6F28" w:rsidRPr="004870C7" w:rsidRDefault="008B6F28" w:rsidP="00676623"/>
    <w:p w14:paraId="4DCE1614" w14:textId="238EABB5" w:rsidR="008B6F28" w:rsidRPr="004870C7" w:rsidRDefault="008B6F28" w:rsidP="00676623"/>
    <w:p w14:paraId="335E16F2" w14:textId="76F3921B" w:rsidR="008B6F28" w:rsidRPr="004870C7" w:rsidRDefault="008B6F28" w:rsidP="00676623"/>
    <w:p w14:paraId="793908D2" w14:textId="3FC827BC" w:rsidR="008B6F28" w:rsidRPr="004870C7" w:rsidRDefault="008B6F28" w:rsidP="00676623"/>
    <w:p w14:paraId="7CA9254B" w14:textId="554525F2" w:rsidR="001E60AC" w:rsidRPr="004870C7" w:rsidRDefault="001E60AC">
      <w:pPr>
        <w:spacing w:after="0"/>
        <w:jc w:val="left"/>
      </w:pPr>
      <w:r w:rsidRPr="004870C7">
        <w:br w:type="page"/>
      </w:r>
    </w:p>
    <w:p w14:paraId="222A43ED" w14:textId="11088164" w:rsidR="00711D58" w:rsidRPr="004870C7" w:rsidRDefault="001E60AC" w:rsidP="00351CC4">
      <w:pPr>
        <w:pStyle w:val="bodybullets"/>
        <w:ind w:left="0" w:firstLine="0"/>
        <w:outlineLvl w:val="1"/>
        <w:rPr>
          <w:szCs w:val="20"/>
        </w:rPr>
      </w:pPr>
      <w:bookmarkStart w:id="37" w:name="_Toc75965566"/>
      <w:r w:rsidRPr="004870C7">
        <w:rPr>
          <w:rStyle w:val="Heading2Char1"/>
          <w:rFonts w:asciiTheme="minorHAnsi" w:hAnsiTheme="minorHAnsi" w:cstheme="minorHAnsi"/>
          <w:i w:val="0"/>
          <w:iCs w:val="0"/>
          <w:sz w:val="20"/>
          <w:szCs w:val="20"/>
          <w:lang w:val="en-US"/>
        </w:rPr>
        <w:lastRenderedPageBreak/>
        <w:t>Annex 10: GEF focal area specific annexes</w:t>
      </w:r>
      <w:r w:rsidRPr="004870C7">
        <w:rPr>
          <w:szCs w:val="20"/>
        </w:rPr>
        <w:t xml:space="preserve"> (e.g. METT, GHG calculations, target landscape profile, feasibility study, other technical reports)</w:t>
      </w:r>
      <w:bookmarkEnd w:id="37"/>
      <w:r w:rsidRPr="004870C7">
        <w:rPr>
          <w:szCs w:val="20"/>
        </w:rPr>
        <w:t xml:space="preserve"> </w:t>
      </w:r>
      <w:r w:rsidR="00711D58" w:rsidRPr="004870C7">
        <w:rPr>
          <w:szCs w:val="20"/>
        </w:rPr>
        <w:br/>
      </w:r>
    </w:p>
    <w:p w14:paraId="36570F17" w14:textId="77777777" w:rsidR="00A0080F" w:rsidRPr="004870C7" w:rsidRDefault="00A0080F" w:rsidP="002B707A">
      <w:pPr>
        <w:spacing w:after="0"/>
        <w:rPr>
          <w:szCs w:val="22"/>
        </w:rPr>
      </w:pPr>
      <w:r w:rsidRPr="004870C7">
        <w:rPr>
          <w:szCs w:val="22"/>
        </w:rPr>
        <w:t>This chapter will be based on the latest GHG inventory, including the update of 2018 emission data. The identification of key categories (KC) is prepared in accordance with 2006 IPCC Guidelines</w:t>
      </w:r>
      <w:r w:rsidRPr="004870C7">
        <w:rPr>
          <w:szCs w:val="22"/>
          <w:vertAlign w:val="superscript"/>
        </w:rPr>
        <w:footnoteReference w:id="17"/>
      </w:r>
      <w:r w:rsidRPr="004870C7">
        <w:rPr>
          <w:szCs w:val="22"/>
        </w:rPr>
        <w:t xml:space="preserve"> following a Tier 1 approach.</w:t>
      </w:r>
    </w:p>
    <w:p w14:paraId="1DC3FEEA" w14:textId="77777777" w:rsidR="00A0080F" w:rsidRPr="004870C7" w:rsidRDefault="00A0080F" w:rsidP="002B707A">
      <w:pPr>
        <w:spacing w:after="0"/>
        <w:rPr>
          <w:szCs w:val="22"/>
        </w:rPr>
      </w:pPr>
    </w:p>
    <w:p w14:paraId="44EAA352" w14:textId="5B7B2194" w:rsidR="00A0080F" w:rsidRPr="004870C7" w:rsidRDefault="00A0080F" w:rsidP="002B707A">
      <w:pPr>
        <w:spacing w:after="0"/>
        <w:rPr>
          <w:szCs w:val="22"/>
        </w:rPr>
      </w:pPr>
      <w:r w:rsidRPr="004870C7">
        <w:rPr>
          <w:szCs w:val="22"/>
        </w:rPr>
        <w:fldChar w:fldCharType="begin"/>
      </w:r>
      <w:r w:rsidRPr="004870C7">
        <w:rPr>
          <w:szCs w:val="22"/>
        </w:rPr>
        <w:instrText xml:space="preserve"> REF _Ref47707501 \h  \* MERGEFORMAT </w:instrText>
      </w:r>
      <w:r w:rsidRPr="004870C7">
        <w:rPr>
          <w:szCs w:val="22"/>
        </w:rPr>
      </w:r>
      <w:r w:rsidRPr="004870C7">
        <w:rPr>
          <w:szCs w:val="22"/>
        </w:rPr>
        <w:fldChar w:fldCharType="separate"/>
      </w:r>
      <w:r w:rsidRPr="004870C7">
        <w:rPr>
          <w:szCs w:val="22"/>
        </w:rPr>
        <w:t>Figure 1</w:t>
      </w:r>
      <w:r w:rsidRPr="004870C7">
        <w:rPr>
          <w:szCs w:val="22"/>
        </w:rPr>
        <w:fldChar w:fldCharType="end"/>
      </w:r>
      <w:r w:rsidRPr="004870C7">
        <w:rPr>
          <w:b/>
          <w:bCs/>
          <w:szCs w:val="22"/>
        </w:rPr>
        <w:t xml:space="preserve"> </w:t>
      </w:r>
      <w:r w:rsidRPr="004870C7">
        <w:rPr>
          <w:szCs w:val="22"/>
        </w:rPr>
        <w:t xml:space="preserve">shows the results of the key categories based on the level assessment excluding LULUCF and </w:t>
      </w:r>
      <w:r w:rsidRPr="004870C7">
        <w:rPr>
          <w:szCs w:val="22"/>
        </w:rPr>
        <w:fldChar w:fldCharType="begin"/>
      </w:r>
      <w:r w:rsidRPr="004870C7">
        <w:rPr>
          <w:szCs w:val="22"/>
        </w:rPr>
        <w:instrText xml:space="preserve"> REF _Ref47707507 \h  \* MERGEFORMAT </w:instrText>
      </w:r>
      <w:r w:rsidRPr="004870C7">
        <w:rPr>
          <w:szCs w:val="22"/>
        </w:rPr>
      </w:r>
      <w:r w:rsidRPr="004870C7">
        <w:rPr>
          <w:szCs w:val="22"/>
        </w:rPr>
        <w:fldChar w:fldCharType="separate"/>
      </w:r>
      <w:r w:rsidRPr="004870C7">
        <w:rPr>
          <w:szCs w:val="22"/>
        </w:rPr>
        <w:t>Figure 2</w:t>
      </w:r>
      <w:r w:rsidRPr="004870C7">
        <w:rPr>
          <w:szCs w:val="22"/>
        </w:rPr>
        <w:fldChar w:fldCharType="end"/>
      </w:r>
      <w:r w:rsidRPr="004870C7">
        <w:rPr>
          <w:szCs w:val="22"/>
        </w:rPr>
        <w:t xml:space="preserve"> including LULUCF, for 2018. The importance of the LULUCF sector, specifically IPCC category 4A ‘Total Forest Land’, becomes obvious, as it it share-wise the most important category, if LULUCF categories are included in the analysis. Without consideration of the removal, the IPCC category 1A1 ‘Public electricity and heat production’ contributes already with 44%. </w:t>
      </w:r>
    </w:p>
    <w:p w14:paraId="788862F1" w14:textId="77777777" w:rsidR="00A0080F" w:rsidRPr="004870C7" w:rsidRDefault="00A0080F" w:rsidP="00A0080F">
      <w:pPr>
        <w:spacing w:after="0"/>
        <w:jc w:val="left"/>
        <w:rPr>
          <w:b/>
          <w:bCs/>
          <w:szCs w:val="22"/>
        </w:rPr>
      </w:pPr>
    </w:p>
    <w:p w14:paraId="2348B5CF" w14:textId="77777777" w:rsidR="00A0080F" w:rsidRPr="004870C7" w:rsidRDefault="00A0080F" w:rsidP="00A0080F">
      <w:pPr>
        <w:spacing w:after="0"/>
        <w:jc w:val="left"/>
        <w:rPr>
          <w:b/>
          <w:bCs/>
          <w:szCs w:val="22"/>
        </w:rPr>
      </w:pPr>
      <w:r w:rsidRPr="004870C7">
        <w:rPr>
          <w:noProof/>
          <w:szCs w:val="22"/>
        </w:rPr>
        <w:drawing>
          <wp:inline distT="0" distB="0" distL="0" distR="0" wp14:anchorId="010BDAA3" wp14:editId="3ECF48CD">
            <wp:extent cx="5753100" cy="2240280"/>
            <wp:effectExtent l="0" t="0" r="0" b="0"/>
            <wp:docPr id="7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3100" cy="2240280"/>
                    </a:xfrm>
                    <a:prstGeom prst="rect">
                      <a:avLst/>
                    </a:prstGeom>
                    <a:noFill/>
                    <a:ln>
                      <a:noFill/>
                    </a:ln>
                  </pic:spPr>
                </pic:pic>
              </a:graphicData>
            </a:graphic>
          </wp:inline>
        </w:drawing>
      </w:r>
    </w:p>
    <w:p w14:paraId="37737C39" w14:textId="77777777" w:rsidR="00A0080F" w:rsidRPr="004870C7" w:rsidRDefault="00A0080F" w:rsidP="00A0080F">
      <w:pPr>
        <w:spacing w:after="0"/>
        <w:jc w:val="left"/>
        <w:rPr>
          <w:i/>
          <w:iCs/>
          <w:szCs w:val="22"/>
        </w:rPr>
      </w:pPr>
      <w:bookmarkStart w:id="38" w:name="_Ref47707501"/>
      <w:r w:rsidRPr="004870C7">
        <w:rPr>
          <w:i/>
          <w:iCs/>
          <w:szCs w:val="22"/>
        </w:rPr>
        <w:t xml:space="preserve">Figure </w:t>
      </w:r>
      <w:r w:rsidRPr="004870C7">
        <w:rPr>
          <w:i/>
          <w:iCs/>
          <w:szCs w:val="22"/>
        </w:rPr>
        <w:fldChar w:fldCharType="begin"/>
      </w:r>
      <w:r w:rsidRPr="004870C7">
        <w:rPr>
          <w:i/>
          <w:iCs/>
          <w:szCs w:val="22"/>
        </w:rPr>
        <w:instrText xml:space="preserve"> SEQ Figure \* ARABIC </w:instrText>
      </w:r>
      <w:r w:rsidRPr="004870C7">
        <w:rPr>
          <w:i/>
          <w:iCs/>
          <w:szCs w:val="22"/>
        </w:rPr>
        <w:fldChar w:fldCharType="separate"/>
      </w:r>
      <w:r w:rsidRPr="004870C7">
        <w:rPr>
          <w:i/>
          <w:iCs/>
          <w:szCs w:val="22"/>
        </w:rPr>
        <w:t>1</w:t>
      </w:r>
      <w:r w:rsidRPr="004870C7">
        <w:rPr>
          <w:szCs w:val="22"/>
        </w:rPr>
        <w:fldChar w:fldCharType="end"/>
      </w:r>
      <w:bookmarkEnd w:id="38"/>
      <w:r w:rsidRPr="004870C7">
        <w:rPr>
          <w:i/>
          <w:iCs/>
          <w:szCs w:val="22"/>
        </w:rPr>
        <w:t>: Results of Key category analysis based on level assessment for 2018 (excl. LULUCF)</w:t>
      </w:r>
    </w:p>
    <w:p w14:paraId="64716F1F" w14:textId="77777777" w:rsidR="00A0080F" w:rsidRPr="004870C7" w:rsidRDefault="00A0080F" w:rsidP="00A0080F">
      <w:pPr>
        <w:spacing w:after="0"/>
        <w:jc w:val="left"/>
        <w:rPr>
          <w:szCs w:val="22"/>
        </w:rPr>
      </w:pPr>
      <w:r w:rsidRPr="004870C7">
        <w:rPr>
          <w:noProof/>
          <w:szCs w:val="22"/>
        </w:rPr>
        <w:drawing>
          <wp:inline distT="0" distB="0" distL="0" distR="0" wp14:anchorId="3128B30C" wp14:editId="016998BF">
            <wp:extent cx="5753100" cy="2331720"/>
            <wp:effectExtent l="0" t="0" r="0" b="0"/>
            <wp:docPr id="20"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3100" cy="2331720"/>
                    </a:xfrm>
                    <a:prstGeom prst="rect">
                      <a:avLst/>
                    </a:prstGeom>
                    <a:noFill/>
                    <a:ln>
                      <a:noFill/>
                    </a:ln>
                  </pic:spPr>
                </pic:pic>
              </a:graphicData>
            </a:graphic>
          </wp:inline>
        </w:drawing>
      </w:r>
    </w:p>
    <w:p w14:paraId="6EC0DEFC" w14:textId="77777777" w:rsidR="00A0080F" w:rsidRPr="004870C7" w:rsidRDefault="00A0080F" w:rsidP="00A0080F">
      <w:pPr>
        <w:spacing w:after="0"/>
        <w:jc w:val="left"/>
        <w:rPr>
          <w:b/>
          <w:bCs/>
          <w:i/>
          <w:iCs/>
          <w:szCs w:val="22"/>
        </w:rPr>
      </w:pPr>
      <w:bookmarkStart w:id="39" w:name="_Ref47707507"/>
      <w:r w:rsidRPr="004870C7">
        <w:rPr>
          <w:i/>
          <w:iCs/>
          <w:szCs w:val="22"/>
        </w:rPr>
        <w:t xml:space="preserve">Figure </w:t>
      </w:r>
      <w:r w:rsidRPr="004870C7">
        <w:rPr>
          <w:i/>
          <w:iCs/>
          <w:szCs w:val="22"/>
        </w:rPr>
        <w:fldChar w:fldCharType="begin"/>
      </w:r>
      <w:r w:rsidRPr="004870C7">
        <w:rPr>
          <w:i/>
          <w:iCs/>
          <w:szCs w:val="22"/>
        </w:rPr>
        <w:instrText xml:space="preserve"> SEQ Figure \* ARABIC </w:instrText>
      </w:r>
      <w:r w:rsidRPr="004870C7">
        <w:rPr>
          <w:i/>
          <w:iCs/>
          <w:szCs w:val="22"/>
        </w:rPr>
        <w:fldChar w:fldCharType="separate"/>
      </w:r>
      <w:r w:rsidRPr="004870C7">
        <w:rPr>
          <w:i/>
          <w:iCs/>
          <w:szCs w:val="22"/>
        </w:rPr>
        <w:t>2</w:t>
      </w:r>
      <w:r w:rsidRPr="004870C7">
        <w:rPr>
          <w:szCs w:val="22"/>
        </w:rPr>
        <w:fldChar w:fldCharType="end"/>
      </w:r>
      <w:bookmarkEnd w:id="39"/>
      <w:r w:rsidRPr="004870C7">
        <w:rPr>
          <w:i/>
          <w:iCs/>
          <w:szCs w:val="22"/>
        </w:rPr>
        <w:t>: Results of Key category analysis based on level assessment (incl. LULUCF)</w:t>
      </w:r>
    </w:p>
    <w:p w14:paraId="25E029E2" w14:textId="77777777" w:rsidR="00A0080F" w:rsidRPr="004870C7" w:rsidRDefault="00A0080F">
      <w:pPr>
        <w:spacing w:after="0"/>
        <w:jc w:val="left"/>
        <w:rPr>
          <w:szCs w:val="22"/>
        </w:rPr>
      </w:pPr>
    </w:p>
    <w:p w14:paraId="03F4DA51" w14:textId="77777777" w:rsidR="00A0080F" w:rsidRPr="004870C7" w:rsidRDefault="00A0080F" w:rsidP="002B707A">
      <w:pPr>
        <w:spacing w:after="0"/>
        <w:rPr>
          <w:szCs w:val="22"/>
        </w:rPr>
      </w:pPr>
      <w:r w:rsidRPr="004870C7">
        <w:rPr>
          <w:szCs w:val="22"/>
        </w:rPr>
        <w:fldChar w:fldCharType="begin"/>
      </w:r>
      <w:r w:rsidRPr="004870C7">
        <w:rPr>
          <w:szCs w:val="22"/>
        </w:rPr>
        <w:instrText xml:space="preserve"> REF _Ref48852873 \h  \* MERGEFORMAT </w:instrText>
      </w:r>
      <w:r w:rsidRPr="004870C7">
        <w:rPr>
          <w:szCs w:val="22"/>
        </w:rPr>
      </w:r>
      <w:r w:rsidRPr="004870C7">
        <w:rPr>
          <w:szCs w:val="22"/>
        </w:rPr>
        <w:fldChar w:fldCharType="separate"/>
      </w:r>
      <w:r w:rsidRPr="004870C7">
        <w:rPr>
          <w:szCs w:val="22"/>
        </w:rPr>
        <w:t>Figure 3</w:t>
      </w:r>
      <w:r w:rsidRPr="004870C7">
        <w:rPr>
          <w:szCs w:val="22"/>
        </w:rPr>
        <w:fldChar w:fldCharType="end"/>
      </w:r>
      <w:r w:rsidRPr="004870C7">
        <w:rPr>
          <w:szCs w:val="22"/>
        </w:rPr>
        <w:t xml:space="preserve"> shows the results of the trend assessment excluding and including LULUCF. The highest “untypical” changes occur from PFC emissions from Aluminum Production. If LULUCF categories are also taken into consideration also IPCC category 4F ‘Other Land’ plays a role, but minor.</w:t>
      </w:r>
    </w:p>
    <w:p w14:paraId="6367FA97" w14:textId="77777777" w:rsidR="00A0080F" w:rsidRPr="004870C7" w:rsidRDefault="00A0080F" w:rsidP="00A0080F">
      <w:pPr>
        <w:spacing w:after="0"/>
        <w:jc w:val="left"/>
        <w:rPr>
          <w:b/>
          <w:bCs/>
          <w:szCs w:val="22"/>
        </w:rPr>
      </w:pPr>
    </w:p>
    <w:p w14:paraId="2705504B" w14:textId="77777777" w:rsidR="00A0080F" w:rsidRPr="004870C7" w:rsidRDefault="00A0080F" w:rsidP="00A0080F">
      <w:pPr>
        <w:spacing w:after="0"/>
        <w:jc w:val="left"/>
        <w:rPr>
          <w:b/>
          <w:bCs/>
          <w:szCs w:val="22"/>
        </w:rPr>
      </w:pPr>
      <w:r w:rsidRPr="004870C7">
        <w:rPr>
          <w:noProof/>
          <w:szCs w:val="22"/>
        </w:rPr>
        <w:lastRenderedPageBreak/>
        <w:drawing>
          <wp:inline distT="0" distB="0" distL="0" distR="0" wp14:anchorId="429F0962" wp14:editId="6A37D4CF">
            <wp:extent cx="2819400" cy="2247900"/>
            <wp:effectExtent l="0" t="0" r="0" b="0"/>
            <wp:docPr id="21"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9400" cy="2247900"/>
                    </a:xfrm>
                    <a:prstGeom prst="rect">
                      <a:avLst/>
                    </a:prstGeom>
                    <a:noFill/>
                    <a:ln>
                      <a:noFill/>
                    </a:ln>
                  </pic:spPr>
                </pic:pic>
              </a:graphicData>
            </a:graphic>
          </wp:inline>
        </w:drawing>
      </w:r>
      <w:r w:rsidRPr="004870C7">
        <w:rPr>
          <w:noProof/>
          <w:szCs w:val="22"/>
        </w:rPr>
        <w:drawing>
          <wp:inline distT="0" distB="0" distL="0" distR="0" wp14:anchorId="7AEBEBBA" wp14:editId="47BF394D">
            <wp:extent cx="2811780" cy="2255520"/>
            <wp:effectExtent l="0" t="0" r="0" b="0"/>
            <wp:docPr id="22"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1780" cy="2255520"/>
                    </a:xfrm>
                    <a:prstGeom prst="rect">
                      <a:avLst/>
                    </a:prstGeom>
                    <a:noFill/>
                    <a:ln>
                      <a:noFill/>
                    </a:ln>
                  </pic:spPr>
                </pic:pic>
              </a:graphicData>
            </a:graphic>
          </wp:inline>
        </w:drawing>
      </w:r>
    </w:p>
    <w:p w14:paraId="11E61422" w14:textId="77777777" w:rsidR="00A0080F" w:rsidRPr="004870C7" w:rsidRDefault="00A0080F" w:rsidP="00A0080F">
      <w:pPr>
        <w:spacing w:after="0"/>
        <w:jc w:val="left"/>
        <w:rPr>
          <w:b/>
          <w:bCs/>
          <w:i/>
          <w:iCs/>
          <w:szCs w:val="22"/>
        </w:rPr>
      </w:pPr>
      <w:bookmarkStart w:id="40" w:name="_Ref48852873"/>
      <w:r w:rsidRPr="004870C7">
        <w:rPr>
          <w:i/>
          <w:iCs/>
          <w:szCs w:val="22"/>
        </w:rPr>
        <w:t xml:space="preserve">Figure </w:t>
      </w:r>
      <w:r w:rsidRPr="004870C7">
        <w:rPr>
          <w:i/>
          <w:iCs/>
          <w:szCs w:val="22"/>
        </w:rPr>
        <w:fldChar w:fldCharType="begin"/>
      </w:r>
      <w:r w:rsidRPr="004870C7">
        <w:rPr>
          <w:i/>
          <w:iCs/>
          <w:szCs w:val="22"/>
        </w:rPr>
        <w:instrText xml:space="preserve"> SEQ Figure \* ARABIC </w:instrText>
      </w:r>
      <w:r w:rsidRPr="004870C7">
        <w:rPr>
          <w:i/>
          <w:iCs/>
          <w:szCs w:val="22"/>
        </w:rPr>
        <w:fldChar w:fldCharType="separate"/>
      </w:r>
      <w:r w:rsidRPr="004870C7">
        <w:rPr>
          <w:i/>
          <w:iCs/>
          <w:szCs w:val="22"/>
        </w:rPr>
        <w:t>3</w:t>
      </w:r>
      <w:r w:rsidRPr="004870C7">
        <w:rPr>
          <w:szCs w:val="22"/>
        </w:rPr>
        <w:fldChar w:fldCharType="end"/>
      </w:r>
      <w:bookmarkEnd w:id="40"/>
      <w:r w:rsidRPr="004870C7">
        <w:rPr>
          <w:i/>
          <w:iCs/>
          <w:szCs w:val="22"/>
        </w:rPr>
        <w:t>: Results of Key category analysis based on trend assessment (left: excl. LULUCF, right: incl. LULUCF)</w:t>
      </w:r>
    </w:p>
    <w:p w14:paraId="6B521714" w14:textId="77777777" w:rsidR="00A0080F" w:rsidRPr="004870C7" w:rsidRDefault="00A0080F">
      <w:pPr>
        <w:spacing w:after="0"/>
        <w:jc w:val="left"/>
        <w:rPr>
          <w:szCs w:val="22"/>
        </w:rPr>
      </w:pPr>
    </w:p>
    <w:p w14:paraId="2D621EF1" w14:textId="77777777" w:rsidR="00A0080F" w:rsidRPr="004870C7" w:rsidRDefault="00A0080F" w:rsidP="002B707A">
      <w:pPr>
        <w:spacing w:after="0"/>
        <w:rPr>
          <w:szCs w:val="22"/>
        </w:rPr>
      </w:pPr>
      <w:r w:rsidRPr="004870C7">
        <w:rPr>
          <w:szCs w:val="22"/>
        </w:rPr>
        <w:t>In 1990, total national GHG (excl. LULUCF) emissions amounted to 5 289 kt CO</w:t>
      </w:r>
      <w:r w:rsidRPr="004870C7">
        <w:rPr>
          <w:szCs w:val="22"/>
          <w:vertAlign w:val="subscript"/>
        </w:rPr>
        <w:t>2</w:t>
      </w:r>
      <w:r w:rsidRPr="004870C7">
        <w:rPr>
          <w:szCs w:val="22"/>
        </w:rPr>
        <w:t xml:space="preserve"> eq., which decreased in the early 1990ies to a minimum of 1 956 kt CO</w:t>
      </w:r>
      <w:r w:rsidRPr="004870C7">
        <w:rPr>
          <w:szCs w:val="22"/>
          <w:vertAlign w:val="subscript"/>
        </w:rPr>
        <w:t>2</w:t>
      </w:r>
      <w:r w:rsidRPr="004870C7">
        <w:rPr>
          <w:szCs w:val="22"/>
        </w:rPr>
        <w:t xml:space="preserve"> eq in 1995. This strong decrease is caused by the temporary closure of the Thermal Power Plant Pljevlja, but also due to the economic recession after the civil war. In 2018, total national GHG emissions excl. LULUCF amounted to 3 767 kt CO</w:t>
      </w:r>
      <w:r w:rsidRPr="004870C7">
        <w:rPr>
          <w:szCs w:val="22"/>
          <w:vertAlign w:val="subscript"/>
        </w:rPr>
        <w:t>2</w:t>
      </w:r>
      <w:r w:rsidRPr="004870C7">
        <w:rPr>
          <w:szCs w:val="22"/>
        </w:rPr>
        <w:t>eq, which is 30% below the 1990 emission level.</w:t>
      </w:r>
    </w:p>
    <w:p w14:paraId="2849CE55" w14:textId="77777777" w:rsidR="00A0080F" w:rsidRPr="004870C7" w:rsidRDefault="00A0080F" w:rsidP="002B707A">
      <w:pPr>
        <w:spacing w:after="0"/>
        <w:rPr>
          <w:szCs w:val="22"/>
        </w:rPr>
      </w:pPr>
    </w:p>
    <w:p w14:paraId="327D50FF" w14:textId="77777777" w:rsidR="00A0080F" w:rsidRPr="004870C7" w:rsidRDefault="00A0080F" w:rsidP="002B707A">
      <w:pPr>
        <w:spacing w:after="0"/>
        <w:rPr>
          <w:szCs w:val="22"/>
        </w:rPr>
      </w:pPr>
      <w:r w:rsidRPr="004870C7">
        <w:rPr>
          <w:szCs w:val="22"/>
        </w:rPr>
        <w:t>After 1995 a significant increase in total emissions (excl. LULUCF) has occurred and reached a level of about 5 000 kt CO</w:t>
      </w:r>
      <w:r w:rsidRPr="004870C7">
        <w:rPr>
          <w:szCs w:val="22"/>
          <w:vertAlign w:val="subscript"/>
        </w:rPr>
        <w:t>2</w:t>
      </w:r>
      <w:r w:rsidRPr="004870C7">
        <w:rPr>
          <w:szCs w:val="22"/>
        </w:rPr>
        <w:t xml:space="preserve"> eq until the international economic recession in 2009, which affected again emissions from the industrial and energy sector the most. Since 2011, GHG emission show annual fluctuations, but without a continuous decreasing trend. Between 2015 and 2018, total GHG emissions (excl. LULUCF) increased by 7 %. The main reasons for this increase are again to be found in the energy and industry sector. From this first general analysis it becomes clear that for Montenegro the energy and the industry sector are key to achieve the needed GHG reductions.</w:t>
      </w:r>
    </w:p>
    <w:p w14:paraId="0C99105F" w14:textId="77777777" w:rsidR="00A0080F" w:rsidRPr="004870C7" w:rsidRDefault="00A0080F" w:rsidP="00A0080F">
      <w:pPr>
        <w:spacing w:after="0"/>
        <w:jc w:val="left"/>
        <w:rPr>
          <w:szCs w:val="22"/>
        </w:rPr>
      </w:pPr>
    </w:p>
    <w:p w14:paraId="122BCDCE" w14:textId="77777777" w:rsidR="00A12373" w:rsidRPr="004870C7" w:rsidRDefault="00A12373">
      <w:pPr>
        <w:spacing w:after="0"/>
        <w:jc w:val="left"/>
        <w:rPr>
          <w:szCs w:val="22"/>
        </w:rPr>
      </w:pPr>
      <w:r w:rsidRPr="004870C7">
        <w:rPr>
          <w:szCs w:val="22"/>
        </w:rPr>
        <w:br w:type="page"/>
      </w:r>
    </w:p>
    <w:p w14:paraId="03E13C31" w14:textId="77777777" w:rsidR="00BD4447" w:rsidRDefault="00A12373" w:rsidP="00A12373">
      <w:pPr>
        <w:pStyle w:val="Heading2"/>
        <w:ind w:left="0"/>
        <w:rPr>
          <w:rFonts w:asciiTheme="majorHAnsi" w:hAnsiTheme="majorHAnsi" w:cstheme="majorHAnsi"/>
          <w:bCs w:val="0"/>
          <w:szCs w:val="22"/>
        </w:rPr>
      </w:pPr>
      <w:bookmarkStart w:id="41" w:name="_Toc75965567"/>
      <w:r w:rsidRPr="004870C7">
        <w:rPr>
          <w:rFonts w:asciiTheme="majorHAnsi" w:hAnsiTheme="majorHAnsi" w:cstheme="majorHAnsi"/>
          <w:bCs w:val="0"/>
          <w:szCs w:val="22"/>
        </w:rPr>
        <w:lastRenderedPageBreak/>
        <w:t>Annex 11: Procurement Plan – for the first year of implementation especially</w:t>
      </w:r>
      <w:bookmarkEnd w:id="41"/>
      <w:r w:rsidRPr="004870C7">
        <w:rPr>
          <w:rFonts w:asciiTheme="majorHAnsi" w:hAnsiTheme="majorHAnsi" w:cstheme="majorHAnsi"/>
          <w:bCs w:val="0"/>
          <w:szCs w:val="22"/>
        </w:rPr>
        <w:t xml:space="preserve"> </w:t>
      </w:r>
    </w:p>
    <w:p w14:paraId="0379183A" w14:textId="77777777" w:rsidR="00BD4447" w:rsidRDefault="00BD4447" w:rsidP="00A12373">
      <w:pPr>
        <w:pStyle w:val="Heading2"/>
        <w:ind w:left="0"/>
        <w:rPr>
          <w:rFonts w:asciiTheme="majorHAnsi" w:hAnsiTheme="majorHAnsi" w:cstheme="majorHAnsi"/>
          <w:bCs w:val="0"/>
          <w:szCs w:val="22"/>
        </w:rPr>
      </w:pPr>
    </w:p>
    <w:p w14:paraId="2A0EDB90" w14:textId="77777777" w:rsidR="00BD4447" w:rsidRDefault="00BD4447" w:rsidP="00A12373">
      <w:pPr>
        <w:pStyle w:val="Heading2"/>
        <w:ind w:left="0"/>
        <w:rPr>
          <w:rFonts w:asciiTheme="majorHAnsi" w:hAnsiTheme="majorHAnsi" w:cstheme="majorHAnsi"/>
          <w:bCs w:val="0"/>
          <w:szCs w:val="22"/>
        </w:rPr>
      </w:pPr>
    </w:p>
    <w:p w14:paraId="74D457C0" w14:textId="77777777" w:rsidR="00BD4447" w:rsidRDefault="00BD4447" w:rsidP="00A12373">
      <w:pPr>
        <w:pStyle w:val="Heading2"/>
        <w:ind w:left="0"/>
        <w:rPr>
          <w:rFonts w:asciiTheme="majorHAnsi" w:hAnsiTheme="majorHAnsi" w:cstheme="majorHAnsi"/>
          <w:bCs w:val="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3780"/>
        <w:gridCol w:w="990"/>
        <w:gridCol w:w="943"/>
        <w:gridCol w:w="788"/>
      </w:tblGrid>
      <w:tr w:rsidR="00BD4447" w:rsidRPr="00BD4447" w14:paraId="5A6C2A61" w14:textId="77777777" w:rsidTr="00BB7043">
        <w:tc>
          <w:tcPr>
            <w:tcW w:w="1975" w:type="dxa"/>
            <w:tcBorders>
              <w:top w:val="single" w:sz="12" w:space="0" w:color="auto"/>
              <w:bottom w:val="single" w:sz="12" w:space="0" w:color="auto"/>
            </w:tcBorders>
          </w:tcPr>
          <w:p w14:paraId="504917CA"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Component</w:t>
            </w:r>
          </w:p>
        </w:tc>
        <w:tc>
          <w:tcPr>
            <w:tcW w:w="3780" w:type="dxa"/>
            <w:tcBorders>
              <w:top w:val="single" w:sz="12" w:space="0" w:color="auto"/>
              <w:bottom w:val="single" w:sz="12" w:space="0" w:color="auto"/>
            </w:tcBorders>
          </w:tcPr>
          <w:p w14:paraId="1F227222"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Description</w:t>
            </w:r>
          </w:p>
        </w:tc>
        <w:tc>
          <w:tcPr>
            <w:tcW w:w="990" w:type="dxa"/>
            <w:tcBorders>
              <w:top w:val="single" w:sz="12" w:space="0" w:color="auto"/>
              <w:bottom w:val="single" w:sz="12" w:space="0" w:color="auto"/>
            </w:tcBorders>
          </w:tcPr>
          <w:p w14:paraId="07813C5A"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Contract Type</w:t>
            </w:r>
          </w:p>
        </w:tc>
        <w:tc>
          <w:tcPr>
            <w:tcW w:w="943" w:type="dxa"/>
            <w:tcBorders>
              <w:top w:val="single" w:sz="12" w:space="0" w:color="auto"/>
              <w:bottom w:val="single" w:sz="12" w:space="0" w:color="auto"/>
            </w:tcBorders>
          </w:tcPr>
          <w:p w14:paraId="03F4EC71"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Amount</w:t>
            </w:r>
          </w:p>
        </w:tc>
        <w:tc>
          <w:tcPr>
            <w:tcW w:w="788" w:type="dxa"/>
            <w:tcBorders>
              <w:top w:val="single" w:sz="12" w:space="0" w:color="auto"/>
              <w:bottom w:val="single" w:sz="12" w:space="0" w:color="auto"/>
            </w:tcBorders>
          </w:tcPr>
          <w:p w14:paraId="661F50D0"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Year 1</w:t>
            </w:r>
          </w:p>
        </w:tc>
      </w:tr>
      <w:tr w:rsidR="00BD4447" w:rsidRPr="00BD4447" w14:paraId="616AF6FC" w14:textId="77777777" w:rsidTr="00BB7043">
        <w:tc>
          <w:tcPr>
            <w:tcW w:w="1975" w:type="dxa"/>
            <w:vMerge w:val="restart"/>
            <w:tcBorders>
              <w:top w:val="single" w:sz="12" w:space="0" w:color="auto"/>
              <w:bottom w:val="single" w:sz="4" w:space="0" w:color="auto"/>
            </w:tcBorders>
            <w:vAlign w:val="center"/>
          </w:tcPr>
          <w:p w14:paraId="02A2BDE2"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iCs/>
                <w:szCs w:val="22"/>
              </w:rPr>
              <w:t>Track Progress of NDC implementation and Achievement and Mitigation Actions</w:t>
            </w:r>
          </w:p>
        </w:tc>
        <w:tc>
          <w:tcPr>
            <w:tcW w:w="3780" w:type="dxa"/>
            <w:tcBorders>
              <w:top w:val="single" w:sz="12" w:space="0" w:color="auto"/>
              <w:bottom w:val="single" w:sz="4" w:space="0" w:color="auto"/>
            </w:tcBorders>
          </w:tcPr>
          <w:p w14:paraId="385B3722"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Short Term international consultant(s) to provide guidance and technical inputs in relation to the analysis of mitigation measures</w:t>
            </w:r>
          </w:p>
        </w:tc>
        <w:tc>
          <w:tcPr>
            <w:tcW w:w="990" w:type="dxa"/>
            <w:tcBorders>
              <w:top w:val="single" w:sz="12" w:space="0" w:color="auto"/>
              <w:bottom w:val="single" w:sz="4" w:space="0" w:color="auto"/>
            </w:tcBorders>
          </w:tcPr>
          <w:p w14:paraId="1E5ED764"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IC</w:t>
            </w:r>
          </w:p>
        </w:tc>
        <w:tc>
          <w:tcPr>
            <w:tcW w:w="943" w:type="dxa"/>
            <w:tcBorders>
              <w:top w:val="single" w:sz="12" w:space="0" w:color="auto"/>
              <w:bottom w:val="single" w:sz="4" w:space="0" w:color="auto"/>
            </w:tcBorders>
          </w:tcPr>
          <w:p w14:paraId="3779DF1C"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7,000</w:t>
            </w:r>
          </w:p>
        </w:tc>
        <w:tc>
          <w:tcPr>
            <w:tcW w:w="788" w:type="dxa"/>
            <w:tcBorders>
              <w:top w:val="single" w:sz="12" w:space="0" w:color="auto"/>
              <w:bottom w:val="single" w:sz="4" w:space="0" w:color="auto"/>
            </w:tcBorders>
          </w:tcPr>
          <w:p w14:paraId="59710F76"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x</w:t>
            </w:r>
          </w:p>
        </w:tc>
      </w:tr>
      <w:tr w:rsidR="00BD4447" w:rsidRPr="00BD4447" w14:paraId="54DE4A5C" w14:textId="77777777" w:rsidTr="00BB7043">
        <w:trPr>
          <w:trHeight w:val="665"/>
        </w:trPr>
        <w:tc>
          <w:tcPr>
            <w:tcW w:w="1975" w:type="dxa"/>
            <w:vMerge/>
            <w:tcBorders>
              <w:top w:val="single" w:sz="4" w:space="0" w:color="auto"/>
              <w:bottom w:val="single" w:sz="12" w:space="0" w:color="auto"/>
            </w:tcBorders>
            <w:vAlign w:val="center"/>
          </w:tcPr>
          <w:p w14:paraId="5F920892" w14:textId="77777777" w:rsidR="00BD4447" w:rsidRPr="00BD4447" w:rsidRDefault="00BD4447" w:rsidP="00D23344">
            <w:pPr>
              <w:rPr>
                <w:rFonts w:asciiTheme="majorHAnsi" w:hAnsiTheme="majorHAnsi" w:cstheme="majorHAnsi"/>
                <w:szCs w:val="22"/>
              </w:rPr>
            </w:pPr>
          </w:p>
        </w:tc>
        <w:tc>
          <w:tcPr>
            <w:tcW w:w="3780" w:type="dxa"/>
            <w:tcBorders>
              <w:top w:val="single" w:sz="4" w:space="0" w:color="auto"/>
              <w:bottom w:val="single" w:sz="12" w:space="0" w:color="auto"/>
            </w:tcBorders>
          </w:tcPr>
          <w:p w14:paraId="005FBFE1"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Local consultants to work on NDC tracking</w:t>
            </w:r>
          </w:p>
        </w:tc>
        <w:tc>
          <w:tcPr>
            <w:tcW w:w="990" w:type="dxa"/>
            <w:tcBorders>
              <w:top w:val="single" w:sz="4" w:space="0" w:color="auto"/>
              <w:bottom w:val="single" w:sz="12" w:space="0" w:color="auto"/>
            </w:tcBorders>
          </w:tcPr>
          <w:p w14:paraId="7450D15C"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IC</w:t>
            </w:r>
          </w:p>
        </w:tc>
        <w:tc>
          <w:tcPr>
            <w:tcW w:w="943" w:type="dxa"/>
            <w:tcBorders>
              <w:top w:val="single" w:sz="4" w:space="0" w:color="auto"/>
              <w:bottom w:val="single" w:sz="12" w:space="0" w:color="auto"/>
            </w:tcBorders>
          </w:tcPr>
          <w:p w14:paraId="5B7CA039"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5,000</w:t>
            </w:r>
          </w:p>
        </w:tc>
        <w:tc>
          <w:tcPr>
            <w:tcW w:w="788" w:type="dxa"/>
            <w:tcBorders>
              <w:top w:val="single" w:sz="4" w:space="0" w:color="auto"/>
              <w:bottom w:val="single" w:sz="12" w:space="0" w:color="auto"/>
            </w:tcBorders>
          </w:tcPr>
          <w:p w14:paraId="571B7EDA"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x</w:t>
            </w:r>
          </w:p>
        </w:tc>
      </w:tr>
      <w:tr w:rsidR="00BD4447" w:rsidRPr="00BD4447" w14:paraId="6671EABB" w14:textId="77777777" w:rsidTr="00BB7043">
        <w:tc>
          <w:tcPr>
            <w:tcW w:w="1975" w:type="dxa"/>
            <w:vMerge w:val="restart"/>
            <w:tcBorders>
              <w:top w:val="single" w:sz="12" w:space="0" w:color="auto"/>
              <w:bottom w:val="single" w:sz="4" w:space="0" w:color="auto"/>
            </w:tcBorders>
            <w:vAlign w:val="center"/>
          </w:tcPr>
          <w:p w14:paraId="6ED78B1A"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Climate Change Impacts and Adaptation</w:t>
            </w:r>
          </w:p>
        </w:tc>
        <w:tc>
          <w:tcPr>
            <w:tcW w:w="3780" w:type="dxa"/>
            <w:tcBorders>
              <w:top w:val="single" w:sz="12" w:space="0" w:color="auto"/>
              <w:bottom w:val="single" w:sz="4" w:space="0" w:color="auto"/>
            </w:tcBorders>
          </w:tcPr>
          <w:p w14:paraId="5E0062EC"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Short term international consultant to work on V&amp;A, together with the national consultants’ team and provide necessary trainings/coaching</w:t>
            </w:r>
          </w:p>
        </w:tc>
        <w:tc>
          <w:tcPr>
            <w:tcW w:w="990" w:type="dxa"/>
            <w:tcBorders>
              <w:top w:val="single" w:sz="12" w:space="0" w:color="auto"/>
              <w:bottom w:val="single" w:sz="4" w:space="0" w:color="auto"/>
            </w:tcBorders>
          </w:tcPr>
          <w:p w14:paraId="4FDFE8F3"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IC</w:t>
            </w:r>
          </w:p>
        </w:tc>
        <w:tc>
          <w:tcPr>
            <w:tcW w:w="943" w:type="dxa"/>
            <w:tcBorders>
              <w:top w:val="single" w:sz="12" w:space="0" w:color="auto"/>
              <w:bottom w:val="single" w:sz="4" w:space="0" w:color="auto"/>
            </w:tcBorders>
          </w:tcPr>
          <w:p w14:paraId="5BF89DB9"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6,000</w:t>
            </w:r>
          </w:p>
        </w:tc>
        <w:tc>
          <w:tcPr>
            <w:tcW w:w="788" w:type="dxa"/>
            <w:tcBorders>
              <w:top w:val="single" w:sz="12" w:space="0" w:color="auto"/>
              <w:bottom w:val="single" w:sz="4" w:space="0" w:color="auto"/>
            </w:tcBorders>
          </w:tcPr>
          <w:p w14:paraId="6BC7AE2D"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x</w:t>
            </w:r>
          </w:p>
        </w:tc>
      </w:tr>
      <w:tr w:rsidR="00BD4447" w:rsidRPr="00BD4447" w14:paraId="314925C8" w14:textId="77777777" w:rsidTr="00BB7043">
        <w:tc>
          <w:tcPr>
            <w:tcW w:w="1975" w:type="dxa"/>
            <w:vMerge/>
            <w:tcBorders>
              <w:top w:val="single" w:sz="4" w:space="0" w:color="auto"/>
              <w:bottom w:val="single" w:sz="12" w:space="0" w:color="auto"/>
            </w:tcBorders>
            <w:vAlign w:val="center"/>
          </w:tcPr>
          <w:p w14:paraId="3B4707D6" w14:textId="77777777" w:rsidR="00BD4447" w:rsidRPr="00BD4447" w:rsidRDefault="00BD4447" w:rsidP="00D23344">
            <w:pPr>
              <w:rPr>
                <w:rFonts w:asciiTheme="majorHAnsi" w:hAnsiTheme="majorHAnsi" w:cstheme="majorHAnsi"/>
                <w:szCs w:val="22"/>
              </w:rPr>
            </w:pPr>
          </w:p>
        </w:tc>
        <w:tc>
          <w:tcPr>
            <w:tcW w:w="3780" w:type="dxa"/>
            <w:tcBorders>
              <w:top w:val="single" w:sz="4" w:space="0" w:color="auto"/>
              <w:bottom w:val="single" w:sz="12" w:space="0" w:color="auto"/>
            </w:tcBorders>
          </w:tcPr>
          <w:p w14:paraId="2F0478E8"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Local consultants to work on vulnerability assessment and adaptation measures</w:t>
            </w:r>
          </w:p>
        </w:tc>
        <w:tc>
          <w:tcPr>
            <w:tcW w:w="990" w:type="dxa"/>
            <w:tcBorders>
              <w:top w:val="single" w:sz="4" w:space="0" w:color="auto"/>
              <w:bottom w:val="single" w:sz="12" w:space="0" w:color="auto"/>
            </w:tcBorders>
          </w:tcPr>
          <w:p w14:paraId="599F1FCA"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IC</w:t>
            </w:r>
          </w:p>
        </w:tc>
        <w:tc>
          <w:tcPr>
            <w:tcW w:w="943" w:type="dxa"/>
            <w:tcBorders>
              <w:top w:val="single" w:sz="4" w:space="0" w:color="auto"/>
              <w:bottom w:val="single" w:sz="12" w:space="0" w:color="auto"/>
            </w:tcBorders>
          </w:tcPr>
          <w:p w14:paraId="48937B79"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8,000</w:t>
            </w:r>
          </w:p>
        </w:tc>
        <w:tc>
          <w:tcPr>
            <w:tcW w:w="788" w:type="dxa"/>
            <w:tcBorders>
              <w:top w:val="single" w:sz="4" w:space="0" w:color="auto"/>
              <w:bottom w:val="single" w:sz="12" w:space="0" w:color="auto"/>
            </w:tcBorders>
          </w:tcPr>
          <w:p w14:paraId="5CF4AACB"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x</w:t>
            </w:r>
          </w:p>
        </w:tc>
      </w:tr>
      <w:tr w:rsidR="00BD4447" w:rsidRPr="00BD4447" w14:paraId="0CB72438" w14:textId="77777777" w:rsidTr="00BB7043">
        <w:trPr>
          <w:trHeight w:val="780"/>
        </w:trPr>
        <w:tc>
          <w:tcPr>
            <w:tcW w:w="1975" w:type="dxa"/>
            <w:tcBorders>
              <w:top w:val="single" w:sz="12" w:space="0" w:color="auto"/>
            </w:tcBorders>
            <w:vAlign w:val="center"/>
          </w:tcPr>
          <w:p w14:paraId="5E3B430B"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 xml:space="preserve">Monitoring and Evaluation </w:t>
            </w:r>
          </w:p>
        </w:tc>
        <w:tc>
          <w:tcPr>
            <w:tcW w:w="3780" w:type="dxa"/>
            <w:tcBorders>
              <w:top w:val="single" w:sz="12" w:space="0" w:color="auto"/>
            </w:tcBorders>
          </w:tcPr>
          <w:p w14:paraId="2287F196"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Inception workshop</w:t>
            </w:r>
          </w:p>
        </w:tc>
        <w:tc>
          <w:tcPr>
            <w:tcW w:w="990" w:type="dxa"/>
            <w:tcBorders>
              <w:top w:val="single" w:sz="12" w:space="0" w:color="auto"/>
            </w:tcBorders>
          </w:tcPr>
          <w:p w14:paraId="544BD33E"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Service</w:t>
            </w:r>
          </w:p>
        </w:tc>
        <w:tc>
          <w:tcPr>
            <w:tcW w:w="943" w:type="dxa"/>
            <w:tcBorders>
              <w:top w:val="single" w:sz="12" w:space="0" w:color="auto"/>
            </w:tcBorders>
          </w:tcPr>
          <w:p w14:paraId="7BF3E3DC" w14:textId="3773C442" w:rsidR="00BD4447" w:rsidRPr="00BD4447" w:rsidRDefault="00C7657B" w:rsidP="00D23344">
            <w:pPr>
              <w:rPr>
                <w:rFonts w:asciiTheme="majorHAnsi" w:hAnsiTheme="majorHAnsi" w:cstheme="majorHAnsi"/>
                <w:szCs w:val="22"/>
              </w:rPr>
            </w:pPr>
            <w:r>
              <w:rPr>
                <w:rFonts w:asciiTheme="majorHAnsi" w:hAnsiTheme="majorHAnsi" w:cstheme="majorHAnsi"/>
                <w:szCs w:val="22"/>
              </w:rPr>
              <w:t>3</w:t>
            </w:r>
            <w:r w:rsidR="00BD4447" w:rsidRPr="00BD4447">
              <w:rPr>
                <w:rFonts w:asciiTheme="majorHAnsi" w:hAnsiTheme="majorHAnsi" w:cstheme="majorHAnsi"/>
                <w:szCs w:val="22"/>
              </w:rPr>
              <w:t>,000</w:t>
            </w:r>
          </w:p>
        </w:tc>
        <w:tc>
          <w:tcPr>
            <w:tcW w:w="788" w:type="dxa"/>
            <w:tcBorders>
              <w:top w:val="single" w:sz="12" w:space="0" w:color="auto"/>
            </w:tcBorders>
          </w:tcPr>
          <w:p w14:paraId="5679762B" w14:textId="77777777" w:rsidR="00BD4447" w:rsidRPr="00BD4447" w:rsidRDefault="00BD4447" w:rsidP="00D23344">
            <w:pPr>
              <w:rPr>
                <w:rFonts w:asciiTheme="majorHAnsi" w:hAnsiTheme="majorHAnsi" w:cstheme="majorHAnsi"/>
                <w:szCs w:val="22"/>
              </w:rPr>
            </w:pPr>
            <w:r w:rsidRPr="00BD4447">
              <w:rPr>
                <w:rFonts w:asciiTheme="majorHAnsi" w:hAnsiTheme="majorHAnsi" w:cstheme="majorHAnsi"/>
                <w:szCs w:val="22"/>
              </w:rPr>
              <w:t>x</w:t>
            </w:r>
          </w:p>
        </w:tc>
      </w:tr>
    </w:tbl>
    <w:p w14:paraId="2A702CCE" w14:textId="1709FA4F" w:rsidR="00711D58" w:rsidRPr="004870C7" w:rsidRDefault="00711D58" w:rsidP="00A12373">
      <w:pPr>
        <w:pStyle w:val="Heading2"/>
        <w:ind w:left="0"/>
        <w:rPr>
          <w:rFonts w:asciiTheme="majorHAnsi" w:hAnsiTheme="majorHAnsi" w:cstheme="majorHAnsi"/>
          <w:bCs w:val="0"/>
          <w:szCs w:val="22"/>
        </w:rPr>
      </w:pPr>
      <w:r w:rsidRPr="004870C7">
        <w:rPr>
          <w:rFonts w:asciiTheme="majorHAnsi" w:hAnsiTheme="majorHAnsi" w:cstheme="majorHAnsi"/>
          <w:bCs w:val="0"/>
          <w:szCs w:val="22"/>
        </w:rPr>
        <w:br w:type="page"/>
      </w:r>
    </w:p>
    <w:p w14:paraId="1864F9FD" w14:textId="4952C9EB" w:rsidR="00DE69A6" w:rsidRPr="004870C7" w:rsidRDefault="00DE69A6" w:rsidP="00D25A9F">
      <w:pPr>
        <w:pStyle w:val="Heading2"/>
        <w:ind w:left="0"/>
        <w:sectPr w:rsidR="00DE69A6" w:rsidRPr="004870C7" w:rsidSect="001E60AC">
          <w:pgSz w:w="12240" w:h="15840" w:code="1"/>
          <w:pgMar w:top="1440" w:right="1440" w:bottom="1440" w:left="1440" w:header="720" w:footer="720" w:gutter="0"/>
          <w:cols w:space="720"/>
          <w:docGrid w:linePitch="360"/>
        </w:sectPr>
      </w:pPr>
    </w:p>
    <w:p w14:paraId="4D3E8B8F" w14:textId="08191278" w:rsidR="00D416B3" w:rsidRPr="004870C7" w:rsidRDefault="007F5638" w:rsidP="00D25A9F">
      <w:pPr>
        <w:pStyle w:val="Heading2"/>
        <w:ind w:left="0"/>
        <w:rPr>
          <w:rFonts w:asciiTheme="minorHAnsi" w:hAnsiTheme="minorHAnsi"/>
        </w:rPr>
      </w:pPr>
      <w:bookmarkStart w:id="42" w:name="_Toc75965568"/>
      <w:r w:rsidRPr="004870C7">
        <w:rPr>
          <w:rFonts w:asciiTheme="minorHAnsi" w:hAnsiTheme="minorHAnsi"/>
        </w:rPr>
        <w:lastRenderedPageBreak/>
        <w:t xml:space="preserve">Annex </w:t>
      </w:r>
      <w:r w:rsidR="00D416B3" w:rsidRPr="004870C7">
        <w:rPr>
          <w:rFonts w:asciiTheme="minorHAnsi" w:hAnsiTheme="minorHAnsi"/>
        </w:rPr>
        <w:t>1</w:t>
      </w:r>
      <w:r w:rsidR="0015330A" w:rsidRPr="004870C7">
        <w:rPr>
          <w:rFonts w:asciiTheme="minorHAnsi" w:hAnsiTheme="minorHAnsi"/>
        </w:rPr>
        <w:t>2</w:t>
      </w:r>
      <w:r w:rsidRPr="004870C7">
        <w:rPr>
          <w:rFonts w:asciiTheme="minorHAnsi" w:hAnsiTheme="minorHAnsi"/>
        </w:rPr>
        <w:t xml:space="preserve">: </w:t>
      </w:r>
      <w:r w:rsidR="00ED625F" w:rsidRPr="004870C7">
        <w:rPr>
          <w:rFonts w:asciiTheme="minorHAnsi" w:hAnsiTheme="minorHAnsi"/>
        </w:rPr>
        <w:t>GEF 7 T</w:t>
      </w:r>
      <w:r w:rsidR="00D25A9F" w:rsidRPr="004870C7">
        <w:rPr>
          <w:rFonts w:asciiTheme="minorHAnsi" w:hAnsiTheme="minorHAnsi"/>
        </w:rPr>
        <w:t>axonomy</w:t>
      </w:r>
      <w:bookmarkEnd w:id="42"/>
      <w:r w:rsidR="00C46B3C" w:rsidRPr="004870C7">
        <w:rPr>
          <w:rFonts w:asciiTheme="minorHAnsi" w:hAnsiTheme="minorHAnsi"/>
        </w:rPr>
        <w:t xml:space="preserve"> </w:t>
      </w:r>
    </w:p>
    <w:p w14:paraId="410FD2F0" w14:textId="171C2B83" w:rsidR="00010D4B" w:rsidRPr="004870C7" w:rsidRDefault="00010D4B" w:rsidP="00ED625F">
      <w:pPr>
        <w:rPr>
          <w:i/>
        </w:rPr>
      </w:pPr>
    </w:p>
    <w:tbl>
      <w:tblPr>
        <w:tblW w:w="5000" w:type="pct"/>
        <w:tblLook w:val="04A0" w:firstRow="1" w:lastRow="0" w:firstColumn="1" w:lastColumn="0" w:noHBand="0" w:noVBand="1"/>
      </w:tblPr>
      <w:tblGrid>
        <w:gridCol w:w="1872"/>
        <w:gridCol w:w="2119"/>
        <w:gridCol w:w="2731"/>
        <w:gridCol w:w="2638"/>
      </w:tblGrid>
      <w:tr w:rsidR="00010D4B" w:rsidRPr="004870C7" w14:paraId="421A830F" w14:textId="77777777" w:rsidTr="00B72A63">
        <w:trPr>
          <w:trHeight w:val="68"/>
        </w:trPr>
        <w:tc>
          <w:tcPr>
            <w:tcW w:w="1000" w:type="pct"/>
            <w:tcBorders>
              <w:top w:val="nil"/>
              <w:left w:val="nil"/>
              <w:bottom w:val="single" w:sz="12" w:space="0" w:color="4472C4"/>
              <w:right w:val="nil"/>
            </w:tcBorders>
            <w:shd w:val="clear" w:color="auto" w:fill="auto"/>
            <w:hideMark/>
          </w:tcPr>
          <w:p w14:paraId="27FF7DE9"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Level 1</w:t>
            </w:r>
          </w:p>
        </w:tc>
        <w:tc>
          <w:tcPr>
            <w:tcW w:w="1132" w:type="pct"/>
            <w:tcBorders>
              <w:top w:val="nil"/>
              <w:left w:val="nil"/>
              <w:bottom w:val="single" w:sz="12" w:space="0" w:color="4472C4"/>
              <w:right w:val="nil"/>
            </w:tcBorders>
            <w:shd w:val="clear" w:color="auto" w:fill="auto"/>
            <w:hideMark/>
          </w:tcPr>
          <w:p w14:paraId="0F8E2911"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Level 2</w:t>
            </w:r>
          </w:p>
        </w:tc>
        <w:tc>
          <w:tcPr>
            <w:tcW w:w="1459" w:type="pct"/>
            <w:tcBorders>
              <w:top w:val="nil"/>
              <w:left w:val="nil"/>
              <w:bottom w:val="single" w:sz="12" w:space="0" w:color="4472C4"/>
              <w:right w:val="nil"/>
            </w:tcBorders>
            <w:shd w:val="clear" w:color="auto" w:fill="auto"/>
            <w:hideMark/>
          </w:tcPr>
          <w:p w14:paraId="5BCA2759"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Level 3</w:t>
            </w:r>
          </w:p>
        </w:tc>
        <w:tc>
          <w:tcPr>
            <w:tcW w:w="1409" w:type="pct"/>
            <w:tcBorders>
              <w:top w:val="nil"/>
              <w:left w:val="nil"/>
              <w:bottom w:val="single" w:sz="12" w:space="0" w:color="4472C4"/>
              <w:right w:val="nil"/>
            </w:tcBorders>
            <w:shd w:val="clear" w:color="auto" w:fill="auto"/>
            <w:hideMark/>
          </w:tcPr>
          <w:p w14:paraId="755467AE"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Level 4</w:t>
            </w:r>
          </w:p>
        </w:tc>
      </w:tr>
      <w:tr w:rsidR="00010D4B" w:rsidRPr="004870C7" w14:paraId="6A29E0B4" w14:textId="77777777" w:rsidTr="00B72A63">
        <w:trPr>
          <w:trHeight w:val="51"/>
        </w:trPr>
        <w:tc>
          <w:tcPr>
            <w:tcW w:w="1000" w:type="pct"/>
            <w:tcBorders>
              <w:top w:val="nil"/>
              <w:left w:val="single" w:sz="4" w:space="0" w:color="auto"/>
              <w:bottom w:val="single" w:sz="4" w:space="0" w:color="auto"/>
              <w:right w:val="single" w:sz="4" w:space="0" w:color="auto"/>
            </w:tcBorders>
            <w:shd w:val="clear" w:color="auto" w:fill="auto"/>
            <w:hideMark/>
          </w:tcPr>
          <w:p w14:paraId="0E22B23D"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IAP_cities"/>
                  <w:enabled/>
                  <w:calcOnExit w:val="0"/>
                  <w:checkBox>
                    <w:sizeAuto/>
                    <w:default w:val="1"/>
                  </w:checkBox>
                </w:ffData>
              </w:fldChar>
            </w:r>
            <w:bookmarkStart w:id="43" w:name="IAP_cities"/>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bookmarkEnd w:id="43"/>
            <w:r w:rsidRPr="004870C7">
              <w:rPr>
                <w:rFonts w:ascii="Avenir Next Regular" w:eastAsia="Times New Roman" w:hAnsi="Avenir Next Regular" w:cs="Calibri"/>
                <w:b/>
                <w:bCs/>
                <w:color w:val="000000"/>
                <w:sz w:val="16"/>
                <w:szCs w:val="16"/>
              </w:rPr>
              <w:t>Stakeholders</w:t>
            </w:r>
          </w:p>
        </w:tc>
        <w:tc>
          <w:tcPr>
            <w:tcW w:w="1132" w:type="pct"/>
            <w:tcBorders>
              <w:top w:val="nil"/>
              <w:left w:val="nil"/>
              <w:bottom w:val="single" w:sz="4" w:space="0" w:color="auto"/>
              <w:right w:val="single" w:sz="4" w:space="0" w:color="auto"/>
            </w:tcBorders>
            <w:shd w:val="clear" w:color="auto" w:fill="auto"/>
            <w:noWrap/>
            <w:hideMark/>
          </w:tcPr>
          <w:p w14:paraId="641C9531" w14:textId="77777777" w:rsidR="00010D4B" w:rsidRPr="004870C7" w:rsidRDefault="00010D4B" w:rsidP="00B72A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37945A22" w14:textId="77777777" w:rsidR="00010D4B" w:rsidRPr="004870C7" w:rsidRDefault="00010D4B" w:rsidP="00B72A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c>
          <w:tcPr>
            <w:tcW w:w="1409" w:type="pct"/>
            <w:tcBorders>
              <w:top w:val="nil"/>
              <w:left w:val="nil"/>
              <w:bottom w:val="single" w:sz="4" w:space="0" w:color="auto"/>
              <w:right w:val="single" w:sz="4" w:space="0" w:color="auto"/>
            </w:tcBorders>
            <w:shd w:val="clear" w:color="auto" w:fill="auto"/>
            <w:hideMark/>
          </w:tcPr>
          <w:p w14:paraId="5152A251" w14:textId="77777777" w:rsidR="00010D4B" w:rsidRPr="004870C7" w:rsidRDefault="00010D4B" w:rsidP="00B72A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06B25D12"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61A19106" w14:textId="195D8180"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0E4581DA" w14:textId="333DBB01" w:rsidR="004733E7" w:rsidRPr="004870C7" w:rsidRDefault="004733E7" w:rsidP="004733E7">
            <w:pPr>
              <w:spacing w:after="0"/>
              <w:ind w:left="204" w:hanging="204"/>
              <w:rPr>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Beneficiaries</w:t>
            </w:r>
          </w:p>
        </w:tc>
        <w:tc>
          <w:tcPr>
            <w:tcW w:w="1459" w:type="pct"/>
            <w:tcBorders>
              <w:top w:val="nil"/>
              <w:left w:val="nil"/>
              <w:bottom w:val="single" w:sz="4" w:space="0" w:color="auto"/>
              <w:right w:val="single" w:sz="4" w:space="0" w:color="auto"/>
            </w:tcBorders>
            <w:shd w:val="clear" w:color="auto" w:fill="auto"/>
          </w:tcPr>
          <w:p w14:paraId="1B93468A" w14:textId="623BF558"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c>
          <w:tcPr>
            <w:tcW w:w="1409" w:type="pct"/>
            <w:tcBorders>
              <w:top w:val="nil"/>
              <w:left w:val="nil"/>
              <w:bottom w:val="single" w:sz="4" w:space="0" w:color="auto"/>
              <w:right w:val="single" w:sz="4" w:space="0" w:color="auto"/>
            </w:tcBorders>
            <w:shd w:val="clear" w:color="auto" w:fill="auto"/>
          </w:tcPr>
          <w:p w14:paraId="7C05D467" w14:textId="314024F5"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74368051"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70331A17" w14:textId="18B130FE"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737CE90D" w14:textId="60B13C5D" w:rsidR="004733E7" w:rsidRPr="004870C7" w:rsidRDefault="004733E7" w:rsidP="004733E7">
            <w:pPr>
              <w:spacing w:after="0"/>
              <w:ind w:left="204" w:hanging="204"/>
              <w:rPr>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Civil Society</w:t>
            </w:r>
          </w:p>
        </w:tc>
        <w:tc>
          <w:tcPr>
            <w:tcW w:w="1459" w:type="pct"/>
            <w:tcBorders>
              <w:top w:val="nil"/>
              <w:left w:val="nil"/>
              <w:bottom w:val="single" w:sz="4" w:space="0" w:color="auto"/>
              <w:right w:val="single" w:sz="4" w:space="0" w:color="auto"/>
            </w:tcBorders>
            <w:shd w:val="clear" w:color="auto" w:fill="auto"/>
          </w:tcPr>
          <w:p w14:paraId="1A058BF0" w14:textId="0A65AF8E"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c>
          <w:tcPr>
            <w:tcW w:w="1409" w:type="pct"/>
            <w:tcBorders>
              <w:top w:val="nil"/>
              <w:left w:val="nil"/>
              <w:bottom w:val="single" w:sz="4" w:space="0" w:color="auto"/>
              <w:right w:val="single" w:sz="4" w:space="0" w:color="auto"/>
            </w:tcBorders>
            <w:shd w:val="clear" w:color="auto" w:fill="auto"/>
          </w:tcPr>
          <w:p w14:paraId="61D64589" w14:textId="7A0C800C"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365CC382"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69E5A4AD" w14:textId="4C9945AB"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29EB676D" w14:textId="2F128DF5" w:rsidR="004733E7" w:rsidRPr="004870C7" w:rsidRDefault="004733E7" w:rsidP="004733E7">
            <w:pPr>
              <w:spacing w:after="0"/>
              <w:ind w:left="204" w:hanging="204"/>
              <w:rPr>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tcPr>
          <w:p w14:paraId="46EB8DA0" w14:textId="75DCCBDD"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IAP_cities"/>
                  <w:enabled/>
                  <w:calcOnExit w:val="0"/>
                  <w:checkBox>
                    <w:sizeAuto/>
                    <w:default w:val="0"/>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 xml:space="preserve">Community Based Organization </w:t>
            </w:r>
          </w:p>
        </w:tc>
        <w:tc>
          <w:tcPr>
            <w:tcW w:w="1409" w:type="pct"/>
            <w:tcBorders>
              <w:top w:val="nil"/>
              <w:left w:val="nil"/>
              <w:bottom w:val="single" w:sz="4" w:space="0" w:color="auto"/>
              <w:right w:val="single" w:sz="4" w:space="0" w:color="auto"/>
            </w:tcBorders>
            <w:shd w:val="clear" w:color="auto" w:fill="auto"/>
          </w:tcPr>
          <w:p w14:paraId="55A50279" w14:textId="3285D1A6"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6473E6BE"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1FC52D1E" w14:textId="52C8AA9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6A609809" w14:textId="77454229" w:rsidR="004733E7" w:rsidRPr="004870C7" w:rsidRDefault="004733E7" w:rsidP="004733E7">
            <w:pPr>
              <w:spacing w:after="0"/>
              <w:ind w:left="204" w:hanging="204"/>
              <w:rPr>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tcPr>
          <w:p w14:paraId="16B57DB2" w14:textId="370820E5"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Non-Governmental Organization</w:t>
            </w:r>
          </w:p>
        </w:tc>
        <w:tc>
          <w:tcPr>
            <w:tcW w:w="1409" w:type="pct"/>
            <w:tcBorders>
              <w:top w:val="nil"/>
              <w:left w:val="nil"/>
              <w:bottom w:val="single" w:sz="4" w:space="0" w:color="auto"/>
              <w:right w:val="single" w:sz="4" w:space="0" w:color="auto"/>
            </w:tcBorders>
            <w:shd w:val="clear" w:color="auto" w:fill="auto"/>
          </w:tcPr>
          <w:p w14:paraId="4BA3C2C5" w14:textId="4DE2D0B9"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740F1FA1"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4D67E56F" w14:textId="116E39C1"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25D9A812" w14:textId="4CAA4DD8" w:rsidR="004733E7" w:rsidRPr="004870C7" w:rsidRDefault="004733E7" w:rsidP="004733E7">
            <w:pPr>
              <w:spacing w:after="0"/>
              <w:ind w:left="204" w:hanging="204"/>
              <w:rPr>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tcPr>
          <w:p w14:paraId="2A117EBA" w14:textId="3C79422B"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Academia</w:t>
            </w:r>
          </w:p>
        </w:tc>
        <w:tc>
          <w:tcPr>
            <w:tcW w:w="1409" w:type="pct"/>
            <w:tcBorders>
              <w:top w:val="nil"/>
              <w:left w:val="nil"/>
              <w:bottom w:val="single" w:sz="4" w:space="0" w:color="auto"/>
              <w:right w:val="single" w:sz="4" w:space="0" w:color="auto"/>
            </w:tcBorders>
            <w:shd w:val="clear" w:color="auto" w:fill="auto"/>
          </w:tcPr>
          <w:p w14:paraId="7C376448" w14:textId="12EC384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28B1F513"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tcPr>
          <w:p w14:paraId="7D197841" w14:textId="0B37A84E"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tcPr>
          <w:p w14:paraId="5527560A" w14:textId="714067C3" w:rsidR="004733E7" w:rsidRPr="004870C7" w:rsidRDefault="004733E7" w:rsidP="004733E7">
            <w:pPr>
              <w:spacing w:after="0"/>
              <w:ind w:left="204" w:hanging="204"/>
              <w:rPr>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tcPr>
          <w:p w14:paraId="611CA45C" w14:textId="4ED9A338"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Trade Unions and Workers Unions</w:t>
            </w:r>
          </w:p>
        </w:tc>
        <w:tc>
          <w:tcPr>
            <w:tcW w:w="1409" w:type="pct"/>
            <w:tcBorders>
              <w:top w:val="nil"/>
              <w:left w:val="nil"/>
              <w:bottom w:val="single" w:sz="4" w:space="0" w:color="auto"/>
              <w:right w:val="single" w:sz="4" w:space="0" w:color="auto"/>
            </w:tcBorders>
            <w:shd w:val="clear" w:color="auto" w:fill="auto"/>
          </w:tcPr>
          <w:p w14:paraId="22DA3863" w14:textId="0E576D18"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16BB1D2C" w14:textId="77777777" w:rsidTr="00B72A63">
        <w:trPr>
          <w:trHeight w:val="233"/>
        </w:trPr>
        <w:tc>
          <w:tcPr>
            <w:tcW w:w="1000" w:type="pct"/>
            <w:tcBorders>
              <w:top w:val="nil"/>
              <w:left w:val="single" w:sz="4" w:space="0" w:color="auto"/>
              <w:bottom w:val="single" w:sz="4" w:space="0" w:color="auto"/>
              <w:right w:val="single" w:sz="4" w:space="0" w:color="auto"/>
            </w:tcBorders>
            <w:shd w:val="clear" w:color="auto" w:fill="auto"/>
            <w:hideMark/>
          </w:tcPr>
          <w:p w14:paraId="639E4D14"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4AFFE37D" w14:textId="77777777" w:rsidR="004733E7" w:rsidRPr="004870C7" w:rsidRDefault="004733E7" w:rsidP="004733E7">
            <w:pPr>
              <w:spacing w:after="0"/>
              <w:ind w:left="204" w:hanging="204"/>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Type of Engagement</w:t>
            </w:r>
          </w:p>
        </w:tc>
        <w:tc>
          <w:tcPr>
            <w:tcW w:w="1459" w:type="pct"/>
            <w:tcBorders>
              <w:top w:val="nil"/>
              <w:left w:val="nil"/>
              <w:bottom w:val="single" w:sz="4" w:space="0" w:color="auto"/>
              <w:right w:val="single" w:sz="4" w:space="0" w:color="auto"/>
            </w:tcBorders>
            <w:shd w:val="clear" w:color="auto" w:fill="auto"/>
            <w:hideMark/>
          </w:tcPr>
          <w:p w14:paraId="55C7097A"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c>
          <w:tcPr>
            <w:tcW w:w="1409" w:type="pct"/>
            <w:tcBorders>
              <w:top w:val="nil"/>
              <w:left w:val="nil"/>
              <w:bottom w:val="single" w:sz="4" w:space="0" w:color="auto"/>
              <w:right w:val="single" w:sz="4" w:space="0" w:color="auto"/>
            </w:tcBorders>
            <w:shd w:val="clear" w:color="auto" w:fill="auto"/>
            <w:hideMark/>
          </w:tcPr>
          <w:p w14:paraId="4FC369B5"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56CAD05F" w14:textId="77777777" w:rsidTr="00B72A63">
        <w:trPr>
          <w:trHeight w:val="386"/>
        </w:trPr>
        <w:tc>
          <w:tcPr>
            <w:tcW w:w="1000" w:type="pct"/>
            <w:tcBorders>
              <w:top w:val="nil"/>
              <w:left w:val="single" w:sz="4" w:space="0" w:color="auto"/>
              <w:bottom w:val="single" w:sz="4" w:space="0" w:color="auto"/>
              <w:right w:val="single" w:sz="4" w:space="0" w:color="auto"/>
            </w:tcBorders>
            <w:shd w:val="clear" w:color="auto" w:fill="auto"/>
            <w:hideMark/>
          </w:tcPr>
          <w:p w14:paraId="235AE15A"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7083EE4B" w14:textId="77777777" w:rsidR="004733E7" w:rsidRPr="004870C7" w:rsidRDefault="004733E7" w:rsidP="004733E7">
            <w:pPr>
              <w:spacing w:after="0"/>
              <w:ind w:left="204" w:hanging="204"/>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1059A0B8"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Information Dissemination</w:t>
            </w:r>
          </w:p>
        </w:tc>
        <w:tc>
          <w:tcPr>
            <w:tcW w:w="1409" w:type="pct"/>
            <w:tcBorders>
              <w:top w:val="nil"/>
              <w:left w:val="nil"/>
              <w:bottom w:val="single" w:sz="4" w:space="0" w:color="auto"/>
              <w:right w:val="single" w:sz="4" w:space="0" w:color="auto"/>
            </w:tcBorders>
            <w:shd w:val="clear" w:color="auto" w:fill="auto"/>
            <w:hideMark/>
          </w:tcPr>
          <w:p w14:paraId="597774DB"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31F24438" w14:textId="77777777" w:rsidTr="00B72A63">
        <w:trPr>
          <w:trHeight w:val="89"/>
        </w:trPr>
        <w:tc>
          <w:tcPr>
            <w:tcW w:w="1000" w:type="pct"/>
            <w:tcBorders>
              <w:top w:val="nil"/>
              <w:left w:val="single" w:sz="4" w:space="0" w:color="auto"/>
              <w:bottom w:val="single" w:sz="4" w:space="0" w:color="auto"/>
              <w:right w:val="single" w:sz="4" w:space="0" w:color="auto"/>
            </w:tcBorders>
            <w:shd w:val="clear" w:color="auto" w:fill="auto"/>
            <w:hideMark/>
          </w:tcPr>
          <w:p w14:paraId="3DA8AC0C"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0ADD128B" w14:textId="77777777" w:rsidR="004733E7" w:rsidRPr="004870C7" w:rsidRDefault="004733E7" w:rsidP="004733E7">
            <w:pPr>
              <w:spacing w:after="0"/>
              <w:ind w:left="204" w:hanging="204"/>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5E1D0B3A"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Partnership</w:t>
            </w:r>
          </w:p>
        </w:tc>
        <w:tc>
          <w:tcPr>
            <w:tcW w:w="1409" w:type="pct"/>
            <w:tcBorders>
              <w:top w:val="nil"/>
              <w:left w:val="nil"/>
              <w:bottom w:val="single" w:sz="4" w:space="0" w:color="auto"/>
              <w:right w:val="single" w:sz="4" w:space="0" w:color="auto"/>
            </w:tcBorders>
            <w:shd w:val="clear" w:color="auto" w:fill="auto"/>
            <w:noWrap/>
            <w:hideMark/>
          </w:tcPr>
          <w:p w14:paraId="1B449AC5" w14:textId="77777777" w:rsidR="004733E7" w:rsidRPr="004870C7" w:rsidRDefault="004733E7" w:rsidP="004733E7">
            <w:pPr>
              <w:spacing w:after="0"/>
              <w:rPr>
                <w:rFonts w:ascii="Avenir Next Regular" w:eastAsia="Times New Roman" w:hAnsi="Avenir Next Regular" w:cs="Calibri"/>
                <w:iCs/>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04DBB2C2" w14:textId="77777777" w:rsidTr="00B72A63">
        <w:trPr>
          <w:trHeight w:val="323"/>
        </w:trPr>
        <w:tc>
          <w:tcPr>
            <w:tcW w:w="1000" w:type="pct"/>
            <w:tcBorders>
              <w:top w:val="nil"/>
              <w:left w:val="single" w:sz="4" w:space="0" w:color="auto"/>
              <w:bottom w:val="single" w:sz="4" w:space="0" w:color="auto"/>
              <w:right w:val="single" w:sz="4" w:space="0" w:color="auto"/>
            </w:tcBorders>
            <w:shd w:val="clear" w:color="auto" w:fill="auto"/>
            <w:hideMark/>
          </w:tcPr>
          <w:p w14:paraId="362FEB37"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675F72C5" w14:textId="77777777" w:rsidR="004733E7" w:rsidRPr="004870C7" w:rsidRDefault="004733E7" w:rsidP="004733E7">
            <w:pPr>
              <w:spacing w:after="0"/>
              <w:ind w:left="114" w:hanging="114"/>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53C2EEF2"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Consultation</w:t>
            </w:r>
          </w:p>
        </w:tc>
        <w:tc>
          <w:tcPr>
            <w:tcW w:w="1409" w:type="pct"/>
            <w:tcBorders>
              <w:top w:val="nil"/>
              <w:left w:val="nil"/>
              <w:bottom w:val="single" w:sz="4" w:space="0" w:color="auto"/>
              <w:right w:val="single" w:sz="4" w:space="0" w:color="auto"/>
            </w:tcBorders>
            <w:shd w:val="clear" w:color="auto" w:fill="auto"/>
            <w:hideMark/>
          </w:tcPr>
          <w:p w14:paraId="78558BA8"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009097CE" w14:textId="77777777" w:rsidTr="00B72A63">
        <w:trPr>
          <w:trHeight w:val="305"/>
        </w:trPr>
        <w:tc>
          <w:tcPr>
            <w:tcW w:w="1000" w:type="pct"/>
            <w:tcBorders>
              <w:top w:val="nil"/>
              <w:left w:val="single" w:sz="4" w:space="0" w:color="auto"/>
              <w:bottom w:val="single" w:sz="4" w:space="0" w:color="auto"/>
              <w:right w:val="single" w:sz="4" w:space="0" w:color="auto"/>
            </w:tcBorders>
            <w:shd w:val="clear" w:color="auto" w:fill="auto"/>
            <w:hideMark/>
          </w:tcPr>
          <w:p w14:paraId="7B65605D"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7B2ED035" w14:textId="77777777" w:rsidR="004733E7" w:rsidRPr="004870C7" w:rsidRDefault="004733E7" w:rsidP="004733E7">
            <w:pPr>
              <w:spacing w:after="0"/>
              <w:ind w:left="114" w:hanging="114"/>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4DF68E58"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Participation</w:t>
            </w:r>
          </w:p>
        </w:tc>
        <w:tc>
          <w:tcPr>
            <w:tcW w:w="1409" w:type="pct"/>
            <w:tcBorders>
              <w:top w:val="nil"/>
              <w:left w:val="nil"/>
              <w:bottom w:val="single" w:sz="4" w:space="0" w:color="auto"/>
              <w:right w:val="single" w:sz="4" w:space="0" w:color="auto"/>
            </w:tcBorders>
            <w:shd w:val="clear" w:color="auto" w:fill="auto"/>
            <w:hideMark/>
          </w:tcPr>
          <w:p w14:paraId="06BFA103"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4733E7" w:rsidRPr="004870C7" w14:paraId="1A4E1F48" w14:textId="77777777" w:rsidTr="00B72A63">
        <w:trPr>
          <w:trHeight w:val="188"/>
        </w:trPr>
        <w:tc>
          <w:tcPr>
            <w:tcW w:w="1000" w:type="pct"/>
            <w:tcBorders>
              <w:top w:val="nil"/>
              <w:left w:val="single" w:sz="4" w:space="0" w:color="auto"/>
              <w:bottom w:val="single" w:sz="4" w:space="0" w:color="auto"/>
              <w:right w:val="single" w:sz="4" w:space="0" w:color="auto"/>
            </w:tcBorders>
            <w:shd w:val="clear" w:color="auto" w:fill="auto"/>
            <w:hideMark/>
          </w:tcPr>
          <w:p w14:paraId="461C77A7" w14:textId="77777777" w:rsidR="004733E7" w:rsidRPr="004870C7" w:rsidRDefault="004733E7" w:rsidP="004733E7">
            <w:pPr>
              <w:spacing w:after="0"/>
              <w:rPr>
                <w:rFonts w:ascii="Avenir Next Regular" w:eastAsia="Times New Roman" w:hAnsi="Avenir Next Regular" w:cs="Calibri"/>
                <w:b/>
                <w:bCs/>
                <w:color w:val="000000"/>
                <w:sz w:val="16"/>
                <w:szCs w:val="16"/>
              </w:rPr>
            </w:pPr>
          </w:p>
        </w:tc>
        <w:tc>
          <w:tcPr>
            <w:tcW w:w="1132" w:type="pct"/>
            <w:tcBorders>
              <w:top w:val="nil"/>
              <w:left w:val="nil"/>
              <w:bottom w:val="single" w:sz="4" w:space="0" w:color="auto"/>
              <w:right w:val="single" w:sz="4" w:space="0" w:color="auto"/>
            </w:tcBorders>
            <w:shd w:val="clear" w:color="auto" w:fill="auto"/>
            <w:hideMark/>
          </w:tcPr>
          <w:p w14:paraId="4D2715E3"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Communications</w:t>
            </w:r>
          </w:p>
        </w:tc>
        <w:tc>
          <w:tcPr>
            <w:tcW w:w="1459" w:type="pct"/>
            <w:tcBorders>
              <w:top w:val="nil"/>
              <w:left w:val="nil"/>
              <w:bottom w:val="single" w:sz="4" w:space="0" w:color="auto"/>
              <w:right w:val="single" w:sz="4" w:space="0" w:color="auto"/>
            </w:tcBorders>
            <w:shd w:val="clear" w:color="auto" w:fill="auto"/>
            <w:hideMark/>
          </w:tcPr>
          <w:p w14:paraId="6F7F910F" w14:textId="77777777" w:rsidR="004733E7" w:rsidRPr="004870C7" w:rsidRDefault="004733E7" w:rsidP="004733E7">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hideMark/>
          </w:tcPr>
          <w:p w14:paraId="0BECE65C" w14:textId="77777777" w:rsidR="004733E7" w:rsidRPr="004870C7" w:rsidRDefault="004733E7" w:rsidP="004733E7">
            <w:pPr>
              <w:spacing w:after="0"/>
              <w:rPr>
                <w:rFonts w:ascii="Avenir Next Regular" w:eastAsia="Times New Roman" w:hAnsi="Avenir Next Regular" w:cs="Calibri"/>
                <w:color w:val="000000"/>
                <w:sz w:val="16"/>
                <w:szCs w:val="16"/>
              </w:rPr>
            </w:pPr>
          </w:p>
        </w:tc>
      </w:tr>
      <w:tr w:rsidR="004733E7" w:rsidRPr="004870C7" w14:paraId="42980A7D" w14:textId="77777777" w:rsidTr="00B72A63">
        <w:trPr>
          <w:trHeight w:val="161"/>
        </w:trPr>
        <w:tc>
          <w:tcPr>
            <w:tcW w:w="1000" w:type="pct"/>
            <w:tcBorders>
              <w:top w:val="nil"/>
              <w:left w:val="single" w:sz="4" w:space="0" w:color="auto"/>
              <w:bottom w:val="single" w:sz="4" w:space="0" w:color="auto"/>
              <w:right w:val="single" w:sz="4" w:space="0" w:color="auto"/>
            </w:tcBorders>
            <w:shd w:val="clear" w:color="auto" w:fill="auto"/>
            <w:hideMark/>
          </w:tcPr>
          <w:p w14:paraId="4212C80D" w14:textId="77777777" w:rsidR="004733E7" w:rsidRPr="004870C7" w:rsidRDefault="004733E7" w:rsidP="004733E7">
            <w:pPr>
              <w:spacing w:after="0"/>
              <w:rPr>
                <w:rFonts w:ascii="Avenir Next Regular" w:eastAsia="Times New Roman" w:hAnsi="Avenir Next Regular" w:cs="Calibri"/>
                <w:b/>
                <w:bCs/>
                <w:color w:val="000000"/>
                <w:sz w:val="16"/>
                <w:szCs w:val="16"/>
              </w:rPr>
            </w:pPr>
          </w:p>
        </w:tc>
        <w:tc>
          <w:tcPr>
            <w:tcW w:w="1132" w:type="pct"/>
            <w:tcBorders>
              <w:top w:val="nil"/>
              <w:left w:val="nil"/>
              <w:bottom w:val="single" w:sz="4" w:space="0" w:color="auto"/>
              <w:right w:val="single" w:sz="4" w:space="0" w:color="auto"/>
            </w:tcBorders>
            <w:shd w:val="clear" w:color="auto" w:fill="auto"/>
            <w:hideMark/>
          </w:tcPr>
          <w:p w14:paraId="65916BB8" w14:textId="77777777" w:rsidR="004733E7" w:rsidRPr="004870C7" w:rsidRDefault="004733E7" w:rsidP="004733E7">
            <w:pPr>
              <w:spacing w:after="0"/>
              <w:rPr>
                <w:rFonts w:ascii="Avenir Next Regular" w:eastAsia="Times New Roman" w:hAnsi="Avenir Next Regular" w:cs="Calibri"/>
                <w:b/>
                <w:bCs/>
                <w:color w:val="000000"/>
                <w:sz w:val="16"/>
                <w:szCs w:val="16"/>
              </w:rPr>
            </w:pPr>
          </w:p>
        </w:tc>
        <w:tc>
          <w:tcPr>
            <w:tcW w:w="1459" w:type="pct"/>
            <w:tcBorders>
              <w:top w:val="nil"/>
              <w:left w:val="nil"/>
              <w:bottom w:val="single" w:sz="4" w:space="0" w:color="auto"/>
              <w:right w:val="single" w:sz="4" w:space="0" w:color="auto"/>
            </w:tcBorders>
            <w:shd w:val="clear" w:color="auto" w:fill="auto"/>
            <w:hideMark/>
          </w:tcPr>
          <w:p w14:paraId="16DE593F" w14:textId="77777777" w:rsidR="004733E7" w:rsidRPr="004870C7" w:rsidRDefault="004733E7" w:rsidP="004733E7">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color w:val="000000"/>
                <w:sz w:val="16"/>
                <w:szCs w:val="16"/>
              </w:rPr>
              <w:t>Awareness Raising</w:t>
            </w:r>
          </w:p>
        </w:tc>
        <w:tc>
          <w:tcPr>
            <w:tcW w:w="1409" w:type="pct"/>
            <w:tcBorders>
              <w:top w:val="nil"/>
              <w:left w:val="nil"/>
              <w:bottom w:val="single" w:sz="4" w:space="0" w:color="auto"/>
              <w:right w:val="single" w:sz="4" w:space="0" w:color="auto"/>
            </w:tcBorders>
            <w:shd w:val="clear" w:color="auto" w:fill="auto"/>
            <w:hideMark/>
          </w:tcPr>
          <w:p w14:paraId="6B1292D6" w14:textId="77777777" w:rsidR="004733E7" w:rsidRPr="004870C7" w:rsidRDefault="004733E7" w:rsidP="004733E7">
            <w:pPr>
              <w:spacing w:after="0"/>
              <w:rPr>
                <w:rFonts w:ascii="Avenir Next Regular" w:eastAsia="Times New Roman" w:hAnsi="Avenir Next Regular" w:cs="Calibri"/>
                <w:color w:val="000000"/>
                <w:sz w:val="16"/>
                <w:szCs w:val="16"/>
              </w:rPr>
            </w:pPr>
          </w:p>
        </w:tc>
      </w:tr>
      <w:tr w:rsidR="004733E7" w:rsidRPr="004870C7" w14:paraId="515E5595" w14:textId="77777777" w:rsidTr="00B72A63">
        <w:trPr>
          <w:trHeight w:val="152"/>
        </w:trPr>
        <w:tc>
          <w:tcPr>
            <w:tcW w:w="1000" w:type="pct"/>
            <w:tcBorders>
              <w:top w:val="nil"/>
              <w:left w:val="single" w:sz="4" w:space="0" w:color="auto"/>
              <w:bottom w:val="single" w:sz="4" w:space="0" w:color="auto"/>
              <w:right w:val="single" w:sz="4" w:space="0" w:color="auto"/>
            </w:tcBorders>
            <w:shd w:val="clear" w:color="auto" w:fill="auto"/>
            <w:hideMark/>
          </w:tcPr>
          <w:p w14:paraId="5DD722DE" w14:textId="77777777" w:rsidR="004733E7" w:rsidRPr="004870C7" w:rsidRDefault="004733E7" w:rsidP="004733E7">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fldChar w:fldCharType="begin">
                <w:ffData>
                  <w:name w:val=""/>
                  <w:enabled/>
                  <w:calcOnExit w:val="0"/>
                  <w:checkBox>
                    <w:sizeAuto/>
                    <w:default w:val="1"/>
                  </w:checkBox>
                </w:ffData>
              </w:fldChar>
            </w:r>
            <w:r w:rsidRPr="004870C7">
              <w:rPr>
                <w:rFonts w:ascii="Avenir Next Regular" w:eastAsia="Times New Roman" w:hAnsi="Avenir Next Regular" w:cs="Calibri"/>
                <w:b/>
                <w:bCs/>
                <w:color w:val="000000"/>
                <w:sz w:val="16"/>
                <w:szCs w:val="16"/>
              </w:rPr>
              <w:instrText xml:space="preserve"> FORMCHECKBOX </w:instrText>
            </w:r>
            <w:r w:rsidR="00F37A13">
              <w:rPr>
                <w:rFonts w:ascii="Avenir Next Regular" w:eastAsia="Times New Roman" w:hAnsi="Avenir Next Regular" w:cs="Calibri"/>
                <w:b/>
                <w:bCs/>
                <w:color w:val="000000"/>
                <w:sz w:val="16"/>
                <w:szCs w:val="16"/>
              </w:rPr>
            </w:r>
            <w:r w:rsidR="00F37A13">
              <w:rPr>
                <w:rFonts w:ascii="Avenir Next Regular" w:eastAsia="Times New Roman" w:hAnsi="Avenir Next Regular" w:cs="Calibri"/>
                <w:b/>
                <w:bCs/>
                <w:color w:val="000000"/>
                <w:sz w:val="16"/>
                <w:szCs w:val="16"/>
              </w:rPr>
              <w:fldChar w:fldCharType="separate"/>
            </w:r>
            <w:r w:rsidRPr="004870C7">
              <w:rPr>
                <w:rFonts w:ascii="Avenir Next Regular" w:eastAsia="Times New Roman" w:hAnsi="Avenir Next Regular" w:cs="Calibri"/>
                <w:b/>
                <w:bCs/>
                <w:color w:val="000000"/>
                <w:sz w:val="16"/>
                <w:szCs w:val="16"/>
              </w:rPr>
              <w:fldChar w:fldCharType="end"/>
            </w:r>
            <w:r w:rsidRPr="004870C7">
              <w:rPr>
                <w:rFonts w:ascii="Avenir Next Regular" w:eastAsia="Times New Roman" w:hAnsi="Avenir Next Regular" w:cs="Calibri"/>
                <w:b/>
                <w:bCs/>
                <w:color w:val="000000"/>
                <w:sz w:val="16"/>
                <w:szCs w:val="16"/>
              </w:rPr>
              <w:t>Capacity, Knowledge and Research</w:t>
            </w:r>
          </w:p>
        </w:tc>
        <w:tc>
          <w:tcPr>
            <w:tcW w:w="1132" w:type="pct"/>
            <w:tcBorders>
              <w:top w:val="nil"/>
              <w:left w:val="nil"/>
              <w:bottom w:val="single" w:sz="4" w:space="0" w:color="auto"/>
              <w:right w:val="single" w:sz="4" w:space="0" w:color="auto"/>
            </w:tcBorders>
            <w:shd w:val="clear" w:color="auto" w:fill="auto"/>
            <w:hideMark/>
          </w:tcPr>
          <w:p w14:paraId="2161871A" w14:textId="77777777" w:rsidR="004733E7" w:rsidRPr="004870C7" w:rsidRDefault="004733E7" w:rsidP="004733E7">
            <w:pPr>
              <w:spacing w:after="0"/>
              <w:rPr>
                <w:rFonts w:ascii="Avenir Next Regular" w:eastAsia="Times New Roman" w:hAnsi="Avenir Next Regular" w:cs="Calibri"/>
                <w:b/>
                <w:bCs/>
                <w:color w:val="000000"/>
                <w:sz w:val="16"/>
                <w:szCs w:val="16"/>
              </w:rPr>
            </w:pPr>
          </w:p>
        </w:tc>
        <w:tc>
          <w:tcPr>
            <w:tcW w:w="1459" w:type="pct"/>
            <w:tcBorders>
              <w:top w:val="nil"/>
              <w:left w:val="nil"/>
              <w:bottom w:val="single" w:sz="4" w:space="0" w:color="auto"/>
              <w:right w:val="single" w:sz="4" w:space="0" w:color="auto"/>
            </w:tcBorders>
            <w:shd w:val="clear" w:color="auto" w:fill="auto"/>
            <w:hideMark/>
          </w:tcPr>
          <w:p w14:paraId="3588ABDD" w14:textId="77777777" w:rsidR="004733E7" w:rsidRPr="004870C7" w:rsidRDefault="004733E7" w:rsidP="004733E7">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hideMark/>
          </w:tcPr>
          <w:p w14:paraId="573618B2" w14:textId="77777777" w:rsidR="004733E7" w:rsidRPr="004870C7" w:rsidRDefault="004733E7" w:rsidP="004733E7">
            <w:pPr>
              <w:spacing w:after="0"/>
              <w:rPr>
                <w:rFonts w:ascii="Avenir Next Regular" w:eastAsia="Times New Roman" w:hAnsi="Avenir Next Regular" w:cs="Calibri"/>
                <w:color w:val="000000"/>
                <w:sz w:val="16"/>
                <w:szCs w:val="16"/>
              </w:rPr>
            </w:pPr>
          </w:p>
        </w:tc>
      </w:tr>
      <w:tr w:rsidR="00E045D9" w:rsidRPr="004870C7" w14:paraId="10FFD30E"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tcPr>
          <w:p w14:paraId="25D4079F" w14:textId="77777777" w:rsidR="00E045D9" w:rsidRPr="004870C7" w:rsidRDefault="00E045D9" w:rsidP="00E045D9">
            <w:pPr>
              <w:spacing w:after="0"/>
              <w:rPr>
                <w:color w:val="000000"/>
                <w:sz w:val="16"/>
                <w:szCs w:val="16"/>
              </w:rPr>
            </w:pPr>
          </w:p>
        </w:tc>
        <w:tc>
          <w:tcPr>
            <w:tcW w:w="1132" w:type="pct"/>
            <w:tcBorders>
              <w:top w:val="nil"/>
              <w:left w:val="nil"/>
              <w:bottom w:val="single" w:sz="4" w:space="0" w:color="auto"/>
              <w:right w:val="single" w:sz="4" w:space="0" w:color="auto"/>
            </w:tcBorders>
            <w:shd w:val="clear" w:color="auto" w:fill="auto"/>
          </w:tcPr>
          <w:p w14:paraId="523513CF" w14:textId="72D618CA" w:rsidR="00E045D9" w:rsidRPr="004870C7" w:rsidRDefault="00E045D9" w:rsidP="00E045D9">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Enabling Activities</w:t>
            </w:r>
          </w:p>
        </w:tc>
        <w:tc>
          <w:tcPr>
            <w:tcW w:w="1459" w:type="pct"/>
            <w:tcBorders>
              <w:top w:val="nil"/>
              <w:left w:val="nil"/>
              <w:bottom w:val="single" w:sz="4" w:space="0" w:color="auto"/>
              <w:right w:val="single" w:sz="4" w:space="0" w:color="auto"/>
            </w:tcBorders>
            <w:shd w:val="clear" w:color="auto" w:fill="auto"/>
          </w:tcPr>
          <w:p w14:paraId="5945DD1D" w14:textId="77777777" w:rsidR="00E045D9" w:rsidRPr="004870C7" w:rsidRDefault="00E045D9" w:rsidP="00E045D9">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tcPr>
          <w:p w14:paraId="68409778" w14:textId="77777777" w:rsidR="00E045D9" w:rsidRPr="004870C7" w:rsidRDefault="00E045D9" w:rsidP="00E045D9">
            <w:pPr>
              <w:spacing w:after="0"/>
              <w:rPr>
                <w:rFonts w:ascii="Avenir Next Regular" w:eastAsia="Times New Roman" w:hAnsi="Avenir Next Regular" w:cs="Calibri"/>
                <w:color w:val="000000"/>
                <w:sz w:val="16"/>
                <w:szCs w:val="16"/>
              </w:rPr>
            </w:pPr>
          </w:p>
        </w:tc>
      </w:tr>
      <w:tr w:rsidR="007F6763" w:rsidRPr="004870C7" w14:paraId="39B2FC25"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tcPr>
          <w:p w14:paraId="6B5F62AC" w14:textId="77777777" w:rsidR="007F6763" w:rsidRPr="004870C7" w:rsidRDefault="007F6763" w:rsidP="007F6763">
            <w:pPr>
              <w:spacing w:after="0"/>
              <w:rPr>
                <w:color w:val="000000"/>
                <w:sz w:val="16"/>
                <w:szCs w:val="16"/>
              </w:rPr>
            </w:pPr>
          </w:p>
        </w:tc>
        <w:tc>
          <w:tcPr>
            <w:tcW w:w="1132" w:type="pct"/>
            <w:tcBorders>
              <w:top w:val="nil"/>
              <w:left w:val="nil"/>
              <w:bottom w:val="single" w:sz="4" w:space="0" w:color="auto"/>
              <w:right w:val="single" w:sz="4" w:space="0" w:color="auto"/>
            </w:tcBorders>
            <w:shd w:val="clear" w:color="auto" w:fill="auto"/>
          </w:tcPr>
          <w:p w14:paraId="45594DE1" w14:textId="2873678F"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Capacity Development</w:t>
            </w:r>
          </w:p>
        </w:tc>
        <w:tc>
          <w:tcPr>
            <w:tcW w:w="1459" w:type="pct"/>
            <w:tcBorders>
              <w:top w:val="nil"/>
              <w:left w:val="nil"/>
              <w:bottom w:val="single" w:sz="4" w:space="0" w:color="auto"/>
              <w:right w:val="single" w:sz="4" w:space="0" w:color="auto"/>
            </w:tcBorders>
            <w:shd w:val="clear" w:color="auto" w:fill="auto"/>
          </w:tcPr>
          <w:p w14:paraId="0E0D9213" w14:textId="77777777" w:rsidR="007F6763" w:rsidRPr="004870C7" w:rsidRDefault="007F6763" w:rsidP="007F6763">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tcPr>
          <w:p w14:paraId="39A99481"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7EEFC3DA"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tcPr>
          <w:p w14:paraId="227FE4C5" w14:textId="77777777" w:rsidR="007F6763" w:rsidRPr="004870C7" w:rsidRDefault="007F6763" w:rsidP="007F6763">
            <w:pPr>
              <w:spacing w:after="0"/>
              <w:rPr>
                <w:color w:val="000000"/>
                <w:sz w:val="16"/>
                <w:szCs w:val="16"/>
              </w:rPr>
            </w:pPr>
          </w:p>
        </w:tc>
        <w:tc>
          <w:tcPr>
            <w:tcW w:w="1132" w:type="pct"/>
            <w:tcBorders>
              <w:top w:val="nil"/>
              <w:left w:val="nil"/>
              <w:bottom w:val="single" w:sz="4" w:space="0" w:color="auto"/>
              <w:right w:val="single" w:sz="4" w:space="0" w:color="auto"/>
            </w:tcBorders>
            <w:shd w:val="clear" w:color="auto" w:fill="auto"/>
          </w:tcPr>
          <w:p w14:paraId="1F781E6E" w14:textId="0AB6FDAB"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Knowledge Generation and Exchange</w:t>
            </w:r>
          </w:p>
        </w:tc>
        <w:tc>
          <w:tcPr>
            <w:tcW w:w="1459" w:type="pct"/>
            <w:tcBorders>
              <w:top w:val="nil"/>
              <w:left w:val="nil"/>
              <w:bottom w:val="single" w:sz="4" w:space="0" w:color="auto"/>
              <w:right w:val="single" w:sz="4" w:space="0" w:color="auto"/>
            </w:tcBorders>
            <w:shd w:val="clear" w:color="auto" w:fill="auto"/>
          </w:tcPr>
          <w:p w14:paraId="5E3412AA" w14:textId="77777777" w:rsidR="007F6763" w:rsidRPr="004870C7" w:rsidRDefault="007F6763" w:rsidP="007F6763">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tcPr>
          <w:p w14:paraId="0EBCE026"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3F390D9D"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hideMark/>
          </w:tcPr>
          <w:p w14:paraId="2B0604B4"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 xml:space="preserve">Gender Equality </w:t>
            </w:r>
          </w:p>
        </w:tc>
        <w:tc>
          <w:tcPr>
            <w:tcW w:w="1132" w:type="pct"/>
            <w:tcBorders>
              <w:top w:val="nil"/>
              <w:left w:val="nil"/>
              <w:bottom w:val="single" w:sz="4" w:space="0" w:color="auto"/>
              <w:right w:val="single" w:sz="4" w:space="0" w:color="auto"/>
            </w:tcBorders>
            <w:shd w:val="clear" w:color="auto" w:fill="auto"/>
            <w:hideMark/>
          </w:tcPr>
          <w:p w14:paraId="20EF437C"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15FCBA93"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c>
          <w:tcPr>
            <w:tcW w:w="1409" w:type="pct"/>
            <w:tcBorders>
              <w:top w:val="nil"/>
              <w:left w:val="nil"/>
              <w:bottom w:val="single" w:sz="4" w:space="0" w:color="auto"/>
              <w:right w:val="single" w:sz="4" w:space="0" w:color="auto"/>
            </w:tcBorders>
            <w:shd w:val="clear" w:color="auto" w:fill="auto"/>
            <w:hideMark/>
          </w:tcPr>
          <w:p w14:paraId="1B8E5AAB"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7F6763" w:rsidRPr="004870C7" w14:paraId="2EFE76A4" w14:textId="77777777" w:rsidTr="00B72A63">
        <w:trPr>
          <w:trHeight w:val="179"/>
        </w:trPr>
        <w:tc>
          <w:tcPr>
            <w:tcW w:w="1000" w:type="pct"/>
            <w:tcBorders>
              <w:top w:val="nil"/>
              <w:left w:val="single" w:sz="4" w:space="0" w:color="auto"/>
              <w:bottom w:val="single" w:sz="4" w:space="0" w:color="auto"/>
              <w:right w:val="single" w:sz="4" w:space="0" w:color="auto"/>
            </w:tcBorders>
            <w:shd w:val="clear" w:color="auto" w:fill="auto"/>
            <w:hideMark/>
          </w:tcPr>
          <w:p w14:paraId="0ACC226B"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5451294E"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Gender Mainstreaming</w:t>
            </w:r>
          </w:p>
        </w:tc>
        <w:tc>
          <w:tcPr>
            <w:tcW w:w="1459" w:type="pct"/>
            <w:tcBorders>
              <w:top w:val="nil"/>
              <w:left w:val="nil"/>
              <w:bottom w:val="single" w:sz="4" w:space="0" w:color="auto"/>
              <w:right w:val="single" w:sz="4" w:space="0" w:color="auto"/>
            </w:tcBorders>
            <w:shd w:val="clear" w:color="auto" w:fill="auto"/>
            <w:hideMark/>
          </w:tcPr>
          <w:p w14:paraId="48AA6549" w14:textId="77777777" w:rsidR="007F6763" w:rsidRPr="004870C7" w:rsidRDefault="007F6763" w:rsidP="007F6763">
            <w:pPr>
              <w:spacing w:after="0"/>
              <w:ind w:left="150" w:hanging="15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hideMark/>
          </w:tcPr>
          <w:p w14:paraId="4BFC7417"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7F6763" w:rsidRPr="004870C7" w14:paraId="6DEB6F49" w14:textId="77777777" w:rsidTr="00B72A63">
        <w:trPr>
          <w:trHeight w:val="197"/>
        </w:trPr>
        <w:tc>
          <w:tcPr>
            <w:tcW w:w="1000" w:type="pct"/>
            <w:tcBorders>
              <w:top w:val="nil"/>
              <w:left w:val="single" w:sz="4" w:space="0" w:color="auto"/>
              <w:bottom w:val="single" w:sz="4" w:space="0" w:color="auto"/>
              <w:right w:val="single" w:sz="4" w:space="0" w:color="auto"/>
            </w:tcBorders>
            <w:shd w:val="clear" w:color="auto" w:fill="auto"/>
            <w:hideMark/>
          </w:tcPr>
          <w:p w14:paraId="731A34B6" w14:textId="77777777" w:rsidR="007F6763" w:rsidRPr="004870C7" w:rsidRDefault="007F6763" w:rsidP="007F6763">
            <w:pPr>
              <w:spacing w:after="0"/>
              <w:rPr>
                <w:rFonts w:ascii="Avenir Next Regular" w:eastAsia="Times New Roman" w:hAnsi="Avenir Next Regular" w:cs="Calibri"/>
                <w:b/>
                <w:bCs/>
                <w:color w:val="000000"/>
                <w:sz w:val="16"/>
                <w:szCs w:val="16"/>
              </w:rPr>
            </w:pPr>
          </w:p>
        </w:tc>
        <w:tc>
          <w:tcPr>
            <w:tcW w:w="1132" w:type="pct"/>
            <w:tcBorders>
              <w:top w:val="nil"/>
              <w:left w:val="nil"/>
              <w:bottom w:val="single" w:sz="4" w:space="0" w:color="auto"/>
              <w:right w:val="single" w:sz="4" w:space="0" w:color="auto"/>
            </w:tcBorders>
            <w:shd w:val="clear" w:color="auto" w:fill="auto"/>
            <w:hideMark/>
          </w:tcPr>
          <w:p w14:paraId="4F6520BA" w14:textId="77777777" w:rsidR="007F6763" w:rsidRPr="004870C7" w:rsidRDefault="007F6763" w:rsidP="007F6763">
            <w:pPr>
              <w:spacing w:after="0"/>
              <w:rPr>
                <w:rFonts w:ascii="Avenir Next Regular" w:eastAsia="Times New Roman" w:hAnsi="Avenir Next Regular" w:cs="Calibri"/>
                <w:b/>
                <w:bCs/>
                <w:color w:val="000000"/>
                <w:sz w:val="16"/>
                <w:szCs w:val="16"/>
              </w:rPr>
            </w:pPr>
          </w:p>
        </w:tc>
        <w:tc>
          <w:tcPr>
            <w:tcW w:w="1459" w:type="pct"/>
            <w:tcBorders>
              <w:top w:val="nil"/>
              <w:left w:val="nil"/>
              <w:bottom w:val="single" w:sz="4" w:space="0" w:color="auto"/>
              <w:right w:val="single" w:sz="4" w:space="0" w:color="auto"/>
            </w:tcBorders>
            <w:shd w:val="clear" w:color="auto" w:fill="auto"/>
            <w:hideMark/>
          </w:tcPr>
          <w:p w14:paraId="75A56E16"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xml:space="preserve"> </w:t>
            </w: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Beneficiaries</w:t>
            </w:r>
          </w:p>
        </w:tc>
        <w:tc>
          <w:tcPr>
            <w:tcW w:w="1409" w:type="pct"/>
            <w:tcBorders>
              <w:top w:val="nil"/>
              <w:left w:val="nil"/>
              <w:bottom w:val="single" w:sz="4" w:space="0" w:color="auto"/>
              <w:right w:val="single" w:sz="4" w:space="0" w:color="auto"/>
            </w:tcBorders>
            <w:shd w:val="clear" w:color="auto" w:fill="auto"/>
            <w:hideMark/>
          </w:tcPr>
          <w:p w14:paraId="667D3F1F"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7F2CC8C6" w14:textId="77777777" w:rsidTr="00B72A63">
        <w:trPr>
          <w:trHeight w:val="179"/>
        </w:trPr>
        <w:tc>
          <w:tcPr>
            <w:tcW w:w="1000" w:type="pct"/>
            <w:tcBorders>
              <w:top w:val="nil"/>
              <w:left w:val="single" w:sz="4" w:space="0" w:color="auto"/>
              <w:bottom w:val="single" w:sz="4" w:space="0" w:color="auto"/>
              <w:right w:val="single" w:sz="4" w:space="0" w:color="auto"/>
            </w:tcBorders>
            <w:shd w:val="clear" w:color="auto" w:fill="auto"/>
            <w:hideMark/>
          </w:tcPr>
          <w:p w14:paraId="7C193A5A"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6EE09231"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3855599D"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xml:space="preserve"> </w:t>
            </w: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Gender-sensitive indicators</w:t>
            </w:r>
          </w:p>
        </w:tc>
        <w:tc>
          <w:tcPr>
            <w:tcW w:w="1409" w:type="pct"/>
            <w:tcBorders>
              <w:top w:val="nil"/>
              <w:left w:val="nil"/>
              <w:bottom w:val="single" w:sz="4" w:space="0" w:color="auto"/>
              <w:right w:val="single" w:sz="4" w:space="0" w:color="auto"/>
            </w:tcBorders>
            <w:shd w:val="clear" w:color="auto" w:fill="auto"/>
            <w:hideMark/>
          </w:tcPr>
          <w:p w14:paraId="3D5BA098"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7F6763" w:rsidRPr="004870C7" w14:paraId="117E394C" w14:textId="77777777" w:rsidTr="00B72A63">
        <w:trPr>
          <w:trHeight w:val="152"/>
        </w:trPr>
        <w:tc>
          <w:tcPr>
            <w:tcW w:w="1000" w:type="pct"/>
            <w:tcBorders>
              <w:top w:val="nil"/>
              <w:left w:val="single" w:sz="4" w:space="0" w:color="auto"/>
              <w:bottom w:val="single" w:sz="4" w:space="0" w:color="auto"/>
              <w:right w:val="single" w:sz="4" w:space="0" w:color="auto"/>
            </w:tcBorders>
            <w:shd w:val="clear" w:color="auto" w:fill="auto"/>
            <w:hideMark/>
          </w:tcPr>
          <w:p w14:paraId="741F40CC"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hideMark/>
          </w:tcPr>
          <w:p w14:paraId="6E05CF76"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Gender results areas</w:t>
            </w:r>
          </w:p>
        </w:tc>
        <w:tc>
          <w:tcPr>
            <w:tcW w:w="1459" w:type="pct"/>
            <w:tcBorders>
              <w:top w:val="nil"/>
              <w:left w:val="nil"/>
              <w:bottom w:val="single" w:sz="4" w:space="0" w:color="auto"/>
              <w:right w:val="single" w:sz="4" w:space="0" w:color="auto"/>
            </w:tcBorders>
            <w:shd w:val="clear" w:color="auto" w:fill="auto"/>
            <w:hideMark/>
          </w:tcPr>
          <w:p w14:paraId="6FF4DDB9" w14:textId="77777777" w:rsidR="007F6763" w:rsidRPr="004870C7" w:rsidRDefault="007F6763" w:rsidP="007F6763">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hideMark/>
          </w:tcPr>
          <w:p w14:paraId="1FEAE5CA"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7F6763" w:rsidRPr="004870C7" w14:paraId="47BDDC25"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3268D3F4"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Focal Areas/Theme</w:t>
            </w:r>
          </w:p>
        </w:tc>
        <w:tc>
          <w:tcPr>
            <w:tcW w:w="1132" w:type="pct"/>
            <w:tcBorders>
              <w:top w:val="nil"/>
              <w:left w:val="nil"/>
              <w:bottom w:val="single" w:sz="4" w:space="0" w:color="auto"/>
              <w:right w:val="single" w:sz="4" w:space="0" w:color="auto"/>
            </w:tcBorders>
            <w:shd w:val="clear" w:color="auto" w:fill="auto"/>
            <w:hideMark/>
          </w:tcPr>
          <w:p w14:paraId="7A980C15" w14:textId="77777777" w:rsidR="007F6763" w:rsidRPr="004870C7" w:rsidRDefault="007F6763" w:rsidP="007F6763">
            <w:pPr>
              <w:spacing w:after="0"/>
              <w:rPr>
                <w:rFonts w:ascii="Avenir Next Regular" w:eastAsia="Times New Roman" w:hAnsi="Avenir Next Regular" w:cs="Calibri"/>
                <w:b/>
                <w:bCs/>
                <w:color w:val="000000"/>
                <w:sz w:val="16"/>
                <w:szCs w:val="16"/>
              </w:rPr>
            </w:pPr>
          </w:p>
        </w:tc>
        <w:tc>
          <w:tcPr>
            <w:tcW w:w="1459" w:type="pct"/>
            <w:tcBorders>
              <w:top w:val="single" w:sz="4" w:space="0" w:color="auto"/>
              <w:left w:val="nil"/>
              <w:bottom w:val="single" w:sz="4" w:space="0" w:color="auto"/>
              <w:right w:val="single" w:sz="4" w:space="0" w:color="auto"/>
            </w:tcBorders>
            <w:shd w:val="clear" w:color="auto" w:fill="auto"/>
            <w:hideMark/>
          </w:tcPr>
          <w:p w14:paraId="361476AB"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iCs/>
                <w:color w:val="000000"/>
                <w:sz w:val="16"/>
                <w:szCs w:val="16"/>
              </w:rPr>
              <w:t> </w:t>
            </w:r>
          </w:p>
        </w:tc>
        <w:tc>
          <w:tcPr>
            <w:tcW w:w="1409" w:type="pct"/>
            <w:tcBorders>
              <w:top w:val="single" w:sz="4" w:space="0" w:color="auto"/>
              <w:left w:val="nil"/>
              <w:bottom w:val="single" w:sz="4" w:space="0" w:color="auto"/>
              <w:right w:val="single" w:sz="4" w:space="0" w:color="auto"/>
            </w:tcBorders>
            <w:shd w:val="clear" w:color="auto" w:fill="auto"/>
            <w:hideMark/>
          </w:tcPr>
          <w:p w14:paraId="4A194D78"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r w:rsidR="007F6763" w:rsidRPr="004870C7" w14:paraId="6B3969A5" w14:textId="77777777" w:rsidTr="00B72A63">
        <w:trPr>
          <w:trHeight w:val="161"/>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59B35254"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vAlign w:val="bottom"/>
            <w:hideMark/>
          </w:tcPr>
          <w:p w14:paraId="4F6A4704"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Climate Change</w:t>
            </w:r>
          </w:p>
        </w:tc>
        <w:tc>
          <w:tcPr>
            <w:tcW w:w="1459" w:type="pct"/>
            <w:tcBorders>
              <w:top w:val="nil"/>
              <w:left w:val="nil"/>
              <w:bottom w:val="single" w:sz="4" w:space="0" w:color="auto"/>
              <w:right w:val="single" w:sz="4" w:space="0" w:color="auto"/>
            </w:tcBorders>
            <w:shd w:val="clear" w:color="auto" w:fill="auto"/>
            <w:hideMark/>
          </w:tcPr>
          <w:p w14:paraId="3B3350E0" w14:textId="77777777" w:rsidR="007F6763" w:rsidRPr="004870C7" w:rsidRDefault="007F6763" w:rsidP="007F6763">
            <w:pPr>
              <w:spacing w:after="0"/>
              <w:rPr>
                <w:rFonts w:ascii="Avenir Next Regular" w:eastAsia="Times New Roman" w:hAnsi="Avenir Next Regular" w:cs="Calibri"/>
                <w:color w:val="000000"/>
                <w:sz w:val="16"/>
                <w:szCs w:val="16"/>
              </w:rPr>
            </w:pPr>
          </w:p>
        </w:tc>
        <w:tc>
          <w:tcPr>
            <w:tcW w:w="1409" w:type="pct"/>
            <w:tcBorders>
              <w:top w:val="nil"/>
              <w:left w:val="nil"/>
              <w:bottom w:val="single" w:sz="4" w:space="0" w:color="auto"/>
              <w:right w:val="single" w:sz="4" w:space="0" w:color="auto"/>
            </w:tcBorders>
            <w:shd w:val="clear" w:color="auto" w:fill="auto"/>
            <w:hideMark/>
          </w:tcPr>
          <w:p w14:paraId="3AB274D9"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6512B33A" w14:textId="77777777" w:rsidTr="00B72A63">
        <w:trPr>
          <w:trHeight w:val="170"/>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1496BD5B" w14:textId="77777777" w:rsidR="007F6763" w:rsidRPr="004870C7" w:rsidRDefault="007F6763" w:rsidP="007F6763">
            <w:pPr>
              <w:spacing w:after="0"/>
              <w:rPr>
                <w:rFonts w:ascii="Avenir Next Regular" w:eastAsia="Times New Roman" w:hAnsi="Avenir Next Regular" w:cs="Calibri"/>
                <w:b/>
                <w:bCs/>
                <w:color w:val="000000"/>
                <w:sz w:val="16"/>
                <w:szCs w:val="16"/>
              </w:rPr>
            </w:pPr>
          </w:p>
        </w:tc>
        <w:tc>
          <w:tcPr>
            <w:tcW w:w="1132" w:type="pct"/>
            <w:tcBorders>
              <w:top w:val="nil"/>
              <w:left w:val="nil"/>
              <w:bottom w:val="single" w:sz="4" w:space="0" w:color="auto"/>
              <w:right w:val="single" w:sz="4" w:space="0" w:color="auto"/>
            </w:tcBorders>
            <w:shd w:val="clear" w:color="auto" w:fill="auto"/>
            <w:vAlign w:val="bottom"/>
            <w:hideMark/>
          </w:tcPr>
          <w:p w14:paraId="75EAFA70" w14:textId="77777777" w:rsidR="007F6763" w:rsidRPr="004870C7" w:rsidRDefault="007F6763" w:rsidP="007F6763">
            <w:pPr>
              <w:spacing w:after="0"/>
              <w:rPr>
                <w:rFonts w:ascii="Avenir Next Regular" w:eastAsia="Times New Roman" w:hAnsi="Avenir Next Regular" w:cs="Calibri"/>
                <w:b/>
                <w:bCs/>
                <w:color w:val="000000"/>
                <w:sz w:val="16"/>
                <w:szCs w:val="16"/>
              </w:rPr>
            </w:pPr>
          </w:p>
        </w:tc>
        <w:tc>
          <w:tcPr>
            <w:tcW w:w="1459" w:type="pct"/>
            <w:tcBorders>
              <w:top w:val="nil"/>
              <w:left w:val="nil"/>
              <w:bottom w:val="single" w:sz="4" w:space="0" w:color="auto"/>
              <w:right w:val="single" w:sz="4" w:space="0" w:color="auto"/>
            </w:tcBorders>
            <w:shd w:val="clear" w:color="auto" w:fill="auto"/>
            <w:hideMark/>
          </w:tcPr>
          <w:p w14:paraId="5296853C"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b/>
                <w:color w:val="000000"/>
                <w:sz w:val="16"/>
                <w:szCs w:val="16"/>
              </w:rPr>
              <w:fldChar w:fldCharType="begin">
                <w:ffData>
                  <w:name w:val=""/>
                  <w:enabled/>
                  <w:calcOnExit w:val="0"/>
                  <w:checkBox>
                    <w:sizeAuto/>
                    <w:default w:val="1"/>
                  </w:checkBox>
                </w:ffData>
              </w:fldChar>
            </w:r>
            <w:r w:rsidRPr="004870C7">
              <w:rPr>
                <w:b/>
                <w:color w:val="000000"/>
                <w:sz w:val="16"/>
                <w:szCs w:val="16"/>
              </w:rPr>
              <w:instrText xml:space="preserve"> FORMCHECKBOX </w:instrText>
            </w:r>
            <w:r w:rsidR="00F37A13">
              <w:rPr>
                <w:b/>
                <w:color w:val="000000"/>
                <w:sz w:val="16"/>
                <w:szCs w:val="16"/>
              </w:rPr>
            </w:r>
            <w:r w:rsidR="00F37A13">
              <w:rPr>
                <w:b/>
                <w:color w:val="000000"/>
                <w:sz w:val="16"/>
                <w:szCs w:val="16"/>
              </w:rPr>
              <w:fldChar w:fldCharType="separate"/>
            </w:r>
            <w:r w:rsidRPr="004870C7">
              <w:rPr>
                <w:b/>
                <w:color w:val="000000"/>
                <w:sz w:val="16"/>
                <w:szCs w:val="16"/>
              </w:rPr>
              <w:fldChar w:fldCharType="end"/>
            </w:r>
            <w:r w:rsidRPr="004870C7">
              <w:rPr>
                <w:rFonts w:ascii="Avenir Next Regular" w:eastAsia="Times New Roman" w:hAnsi="Avenir Next Regular" w:cs="Calibri"/>
                <w:b/>
                <w:bCs/>
                <w:color w:val="000000"/>
                <w:sz w:val="16"/>
                <w:szCs w:val="16"/>
              </w:rPr>
              <w:t>Climate Change Adaptation</w:t>
            </w:r>
          </w:p>
        </w:tc>
        <w:tc>
          <w:tcPr>
            <w:tcW w:w="1409" w:type="pct"/>
            <w:tcBorders>
              <w:top w:val="nil"/>
              <w:left w:val="nil"/>
              <w:bottom w:val="single" w:sz="4" w:space="0" w:color="auto"/>
              <w:right w:val="single" w:sz="4" w:space="0" w:color="auto"/>
            </w:tcBorders>
            <w:shd w:val="clear" w:color="auto" w:fill="auto"/>
            <w:hideMark/>
          </w:tcPr>
          <w:p w14:paraId="73823406"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56D03661" w14:textId="77777777" w:rsidTr="00B72A63">
        <w:trPr>
          <w:trHeight w:val="161"/>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1972AB63"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vAlign w:val="bottom"/>
            <w:hideMark/>
          </w:tcPr>
          <w:p w14:paraId="5F25BD58"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45DDC4A4"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b/>
                <w:bCs/>
                <w:color w:val="000000"/>
                <w:sz w:val="16"/>
                <w:szCs w:val="16"/>
              </w:rPr>
              <w:t> </w:t>
            </w:r>
          </w:p>
        </w:tc>
        <w:tc>
          <w:tcPr>
            <w:tcW w:w="1409" w:type="pct"/>
            <w:tcBorders>
              <w:top w:val="nil"/>
              <w:left w:val="nil"/>
              <w:bottom w:val="single" w:sz="4" w:space="0" w:color="auto"/>
              <w:right w:val="single" w:sz="4" w:space="0" w:color="auto"/>
            </w:tcBorders>
            <w:shd w:val="clear" w:color="auto" w:fill="auto"/>
            <w:hideMark/>
          </w:tcPr>
          <w:p w14:paraId="67CDA217"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iCs/>
                <w:color w:val="000000"/>
                <w:sz w:val="16"/>
                <w:szCs w:val="16"/>
              </w:rPr>
              <w:t>Climate information</w:t>
            </w:r>
          </w:p>
        </w:tc>
      </w:tr>
      <w:tr w:rsidR="007F6763" w:rsidRPr="004870C7" w14:paraId="56607D15"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0CC301E8"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vAlign w:val="bottom"/>
            <w:hideMark/>
          </w:tcPr>
          <w:p w14:paraId="302CCC84"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41AEB660"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Climate Change Mitigation</w:t>
            </w:r>
          </w:p>
        </w:tc>
        <w:tc>
          <w:tcPr>
            <w:tcW w:w="1409" w:type="pct"/>
            <w:tcBorders>
              <w:top w:val="nil"/>
              <w:left w:val="nil"/>
              <w:bottom w:val="single" w:sz="4" w:space="0" w:color="auto"/>
              <w:right w:val="single" w:sz="4" w:space="0" w:color="auto"/>
            </w:tcBorders>
            <w:shd w:val="clear" w:color="auto" w:fill="auto"/>
            <w:hideMark/>
          </w:tcPr>
          <w:p w14:paraId="66975338" w14:textId="77777777" w:rsidR="007F6763" w:rsidRPr="004870C7" w:rsidRDefault="007F6763" w:rsidP="007F6763">
            <w:pPr>
              <w:spacing w:after="0"/>
              <w:rPr>
                <w:rFonts w:ascii="Avenir Next Regular" w:eastAsia="Times New Roman" w:hAnsi="Avenir Next Regular" w:cs="Calibri"/>
                <w:color w:val="000000"/>
                <w:sz w:val="16"/>
                <w:szCs w:val="16"/>
              </w:rPr>
            </w:pPr>
          </w:p>
        </w:tc>
      </w:tr>
      <w:tr w:rsidR="007F6763" w:rsidRPr="004870C7" w14:paraId="0B4784AD"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4EAB847E"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vAlign w:val="bottom"/>
            <w:hideMark/>
          </w:tcPr>
          <w:p w14:paraId="2506A4E6"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0AF0DE34"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b/>
                <w:bCs/>
                <w:color w:val="000000"/>
                <w:sz w:val="16"/>
                <w:szCs w:val="16"/>
              </w:rPr>
              <w:t> </w:t>
            </w:r>
          </w:p>
        </w:tc>
        <w:tc>
          <w:tcPr>
            <w:tcW w:w="1409" w:type="pct"/>
            <w:tcBorders>
              <w:top w:val="nil"/>
              <w:left w:val="nil"/>
              <w:bottom w:val="single" w:sz="4" w:space="0" w:color="auto"/>
              <w:right w:val="single" w:sz="4" w:space="0" w:color="auto"/>
            </w:tcBorders>
            <w:shd w:val="clear" w:color="auto" w:fill="auto"/>
            <w:hideMark/>
          </w:tcPr>
          <w:p w14:paraId="558931C7"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color w:val="000000"/>
                <w:sz w:val="16"/>
                <w:szCs w:val="16"/>
              </w:rPr>
              <w:t>Enabling Activities</w:t>
            </w:r>
          </w:p>
        </w:tc>
      </w:tr>
      <w:tr w:rsidR="007F6763" w:rsidRPr="004870C7" w14:paraId="501C5113" w14:textId="77777777" w:rsidTr="00B72A63">
        <w:trPr>
          <w:trHeight w:val="58"/>
        </w:trPr>
        <w:tc>
          <w:tcPr>
            <w:tcW w:w="1000" w:type="pct"/>
            <w:tcBorders>
              <w:top w:val="nil"/>
              <w:left w:val="single" w:sz="4" w:space="0" w:color="auto"/>
              <w:bottom w:val="single" w:sz="4" w:space="0" w:color="auto"/>
              <w:right w:val="single" w:sz="4" w:space="0" w:color="auto"/>
            </w:tcBorders>
            <w:shd w:val="clear" w:color="auto" w:fill="auto"/>
            <w:vAlign w:val="bottom"/>
            <w:hideMark/>
          </w:tcPr>
          <w:p w14:paraId="51B98B1B"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132" w:type="pct"/>
            <w:tcBorders>
              <w:top w:val="nil"/>
              <w:left w:val="nil"/>
              <w:bottom w:val="single" w:sz="4" w:space="0" w:color="auto"/>
              <w:right w:val="single" w:sz="4" w:space="0" w:color="auto"/>
            </w:tcBorders>
            <w:shd w:val="clear" w:color="auto" w:fill="auto"/>
            <w:vAlign w:val="bottom"/>
            <w:hideMark/>
          </w:tcPr>
          <w:p w14:paraId="561A75BB" w14:textId="77777777" w:rsidR="007F6763" w:rsidRPr="004870C7" w:rsidRDefault="007F6763" w:rsidP="007F6763">
            <w:pPr>
              <w:spacing w:after="0"/>
              <w:rPr>
                <w:rFonts w:ascii="Avenir Next Regular" w:eastAsia="Times New Roman" w:hAnsi="Avenir Next Regular" w:cs="Calibri"/>
                <w:b/>
                <w:bCs/>
                <w:color w:val="000000"/>
                <w:sz w:val="16"/>
                <w:szCs w:val="16"/>
              </w:rPr>
            </w:pPr>
            <w:r w:rsidRPr="004870C7">
              <w:rPr>
                <w:rFonts w:ascii="Avenir Next Regular" w:eastAsia="Times New Roman" w:hAnsi="Avenir Next Regular" w:cs="Calibri"/>
                <w:b/>
                <w:bCs/>
                <w:color w:val="000000"/>
                <w:sz w:val="16"/>
                <w:szCs w:val="16"/>
              </w:rPr>
              <w:t> </w:t>
            </w:r>
          </w:p>
        </w:tc>
        <w:tc>
          <w:tcPr>
            <w:tcW w:w="1459" w:type="pct"/>
            <w:tcBorders>
              <w:top w:val="nil"/>
              <w:left w:val="nil"/>
              <w:bottom w:val="single" w:sz="4" w:space="0" w:color="auto"/>
              <w:right w:val="single" w:sz="4" w:space="0" w:color="auto"/>
            </w:tcBorders>
            <w:shd w:val="clear" w:color="auto" w:fill="auto"/>
            <w:hideMark/>
          </w:tcPr>
          <w:p w14:paraId="5023687D"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color w:val="000000"/>
                <w:sz w:val="16"/>
                <w:szCs w:val="16"/>
              </w:rPr>
              <w:fldChar w:fldCharType="begin">
                <w:ffData>
                  <w:name w:val=""/>
                  <w:enabled/>
                  <w:calcOnExit w:val="0"/>
                  <w:checkBox>
                    <w:sizeAuto/>
                    <w:default w:val="1"/>
                  </w:checkBox>
                </w:ffData>
              </w:fldChar>
            </w:r>
            <w:r w:rsidRPr="004870C7">
              <w:rPr>
                <w:color w:val="000000"/>
                <w:sz w:val="16"/>
                <w:szCs w:val="16"/>
              </w:rPr>
              <w:instrText xml:space="preserve"> FORMCHECKBOX </w:instrText>
            </w:r>
            <w:r w:rsidR="00F37A13">
              <w:rPr>
                <w:color w:val="000000"/>
                <w:sz w:val="16"/>
                <w:szCs w:val="16"/>
              </w:rPr>
            </w:r>
            <w:r w:rsidR="00F37A13">
              <w:rPr>
                <w:color w:val="000000"/>
                <w:sz w:val="16"/>
                <w:szCs w:val="16"/>
              </w:rPr>
              <w:fldChar w:fldCharType="separate"/>
            </w:r>
            <w:r w:rsidRPr="004870C7">
              <w:rPr>
                <w:color w:val="000000"/>
                <w:sz w:val="16"/>
                <w:szCs w:val="16"/>
              </w:rPr>
              <w:fldChar w:fldCharType="end"/>
            </w:r>
            <w:r w:rsidRPr="004870C7">
              <w:rPr>
                <w:rFonts w:ascii="Avenir Next Regular" w:eastAsia="Times New Roman" w:hAnsi="Avenir Next Regular" w:cs="Calibri"/>
                <w:b/>
                <w:bCs/>
                <w:color w:val="000000"/>
                <w:sz w:val="16"/>
                <w:szCs w:val="16"/>
              </w:rPr>
              <w:t>United Nations Framework on Climate Change</w:t>
            </w:r>
          </w:p>
        </w:tc>
        <w:tc>
          <w:tcPr>
            <w:tcW w:w="1409" w:type="pct"/>
            <w:tcBorders>
              <w:top w:val="nil"/>
              <w:left w:val="nil"/>
              <w:bottom w:val="single" w:sz="4" w:space="0" w:color="auto"/>
              <w:right w:val="single" w:sz="4" w:space="0" w:color="auto"/>
            </w:tcBorders>
            <w:shd w:val="clear" w:color="auto" w:fill="auto"/>
            <w:vAlign w:val="bottom"/>
            <w:hideMark/>
          </w:tcPr>
          <w:p w14:paraId="796C7047" w14:textId="77777777" w:rsidR="007F6763" w:rsidRPr="004870C7" w:rsidRDefault="007F6763" w:rsidP="007F6763">
            <w:pPr>
              <w:spacing w:after="0"/>
              <w:rPr>
                <w:rFonts w:ascii="Avenir Next Regular" w:eastAsia="Times New Roman" w:hAnsi="Avenir Next Regular" w:cs="Calibri"/>
                <w:color w:val="000000"/>
                <w:sz w:val="16"/>
                <w:szCs w:val="16"/>
              </w:rPr>
            </w:pPr>
            <w:r w:rsidRPr="004870C7">
              <w:rPr>
                <w:rFonts w:ascii="Avenir Next Regular" w:eastAsia="Times New Roman" w:hAnsi="Avenir Next Regular" w:cs="Calibri"/>
                <w:color w:val="000000"/>
                <w:sz w:val="16"/>
                <w:szCs w:val="16"/>
              </w:rPr>
              <w:t> </w:t>
            </w:r>
          </w:p>
        </w:tc>
      </w:tr>
    </w:tbl>
    <w:p w14:paraId="71CDA374" w14:textId="047811B1" w:rsidR="00ED625F" w:rsidRPr="004870C7" w:rsidRDefault="00ED625F" w:rsidP="00ED625F">
      <w:pPr>
        <w:rPr>
          <w:color w:val="000000"/>
        </w:rPr>
      </w:pPr>
    </w:p>
    <w:p w14:paraId="3D56F4F2" w14:textId="77777777" w:rsidR="00932753" w:rsidRPr="004870C7" w:rsidRDefault="00932753" w:rsidP="00ED625F">
      <w:pPr>
        <w:rPr>
          <w:color w:val="000000"/>
        </w:rPr>
        <w:sectPr w:rsidR="00932753" w:rsidRPr="004870C7" w:rsidSect="009F46C3">
          <w:pgSz w:w="12240" w:h="15840" w:code="1"/>
          <w:pgMar w:top="1440" w:right="1440" w:bottom="1440" w:left="1440" w:header="720" w:footer="720" w:gutter="0"/>
          <w:cols w:space="720"/>
          <w:docGrid w:linePitch="360"/>
        </w:sectPr>
      </w:pPr>
    </w:p>
    <w:p w14:paraId="0B05EBED" w14:textId="6F56C664" w:rsidR="006E7972" w:rsidRPr="004870C7" w:rsidRDefault="006B5AE0" w:rsidP="006B5AE0">
      <w:pPr>
        <w:pStyle w:val="Heading2"/>
        <w:ind w:hanging="720"/>
        <w:rPr>
          <w:rFonts w:asciiTheme="majorHAnsi" w:hAnsiTheme="majorHAnsi" w:cstheme="majorHAnsi"/>
          <w:bCs w:val="0"/>
          <w:color w:val="000000"/>
        </w:rPr>
      </w:pPr>
      <w:bookmarkStart w:id="44" w:name="_Toc75965569"/>
      <w:r w:rsidRPr="004870C7">
        <w:rPr>
          <w:rFonts w:asciiTheme="majorHAnsi" w:hAnsiTheme="majorHAnsi" w:cstheme="majorHAnsi"/>
          <w:bCs w:val="0"/>
          <w:color w:val="000000"/>
        </w:rPr>
        <w:lastRenderedPageBreak/>
        <w:t>Annex 13: Partners Capacity Assessment Tool and HACT assessment</w:t>
      </w:r>
      <w:bookmarkEnd w:id="44"/>
    </w:p>
    <w:p w14:paraId="6F05D699" w14:textId="73A01BAC" w:rsidR="006B5AE0" w:rsidRDefault="006B5AE0" w:rsidP="00ED625F">
      <w:pPr>
        <w:rPr>
          <w:color w:val="000000"/>
        </w:rPr>
      </w:pPr>
    </w:p>
    <w:p w14:paraId="6DF0F2AF" w14:textId="59C9E3C1" w:rsidR="006B5AE0" w:rsidRDefault="006B5AE0" w:rsidP="00ED625F">
      <w:pPr>
        <w:rPr>
          <w:color w:val="000000"/>
        </w:rPr>
      </w:pPr>
      <w:r w:rsidRPr="004870C7">
        <w:rPr>
          <w:color w:val="000000"/>
        </w:rPr>
        <w:t>The Partners Capacity Assessment and HACT assessment are attached separately to the project document.</w:t>
      </w:r>
    </w:p>
    <w:p w14:paraId="31334A5E" w14:textId="17B8B72A" w:rsidR="00B64B69" w:rsidRDefault="00B64B69" w:rsidP="00ED625F">
      <w:pPr>
        <w:rPr>
          <w:color w:val="000000"/>
        </w:rPr>
      </w:pPr>
    </w:p>
    <w:p w14:paraId="245796E2" w14:textId="4563C552" w:rsidR="00B64B69" w:rsidRPr="004870C7" w:rsidRDefault="00B64B69" w:rsidP="00ED625F">
      <w:pPr>
        <w:rPr>
          <w:color w:val="000000"/>
        </w:rPr>
      </w:pPr>
      <w:r w:rsidRPr="00FF4CF8">
        <w:rPr>
          <w:color w:val="000000"/>
        </w:rPr>
        <w:t xml:space="preserve">After the national elections, there were </w:t>
      </w:r>
      <w:r w:rsidR="005B2AF4" w:rsidRPr="00FF4CF8">
        <w:rPr>
          <w:color w:val="000000"/>
        </w:rPr>
        <w:t>some</w:t>
      </w:r>
      <w:r w:rsidRPr="00FF4CF8">
        <w:rPr>
          <w:color w:val="000000"/>
        </w:rPr>
        <w:t xml:space="preserve"> changes within the </w:t>
      </w:r>
      <w:r w:rsidR="005B2AF4" w:rsidRPr="00FF4CF8">
        <w:rPr>
          <w:color w:val="000000"/>
        </w:rPr>
        <w:t xml:space="preserve">organization and </w:t>
      </w:r>
      <w:r w:rsidRPr="00FF4CF8">
        <w:rPr>
          <w:color w:val="000000"/>
        </w:rPr>
        <w:t>structure</w:t>
      </w:r>
      <w:r w:rsidR="005B2AF4" w:rsidRPr="00FF4CF8">
        <w:rPr>
          <w:color w:val="000000"/>
        </w:rPr>
        <w:t xml:space="preserve"> of the Government of Montenegro</w:t>
      </w:r>
      <w:r w:rsidRPr="00FF4CF8">
        <w:rPr>
          <w:color w:val="000000"/>
        </w:rPr>
        <w:t>. Consequently, the name of the IP was changes, from Ministry of Sustainable Development and Tourism into Ministry of Ecology, Spatial Planning and Urbanism.</w:t>
      </w:r>
      <w:r w:rsidR="005B2AF4" w:rsidRPr="00FF4CF8">
        <w:rPr>
          <w:color w:val="000000"/>
        </w:rPr>
        <w:t xml:space="preserve"> Climate change stayed within the same Ministry, within its Directorate for International Cooperation, EU Accession and Climate Change, and no change in operational, </w:t>
      </w:r>
      <w:r w:rsidR="009F46C3" w:rsidRPr="00FF4CF8">
        <w:rPr>
          <w:color w:val="000000"/>
        </w:rPr>
        <w:t>financial</w:t>
      </w:r>
      <w:r w:rsidR="005B2AF4" w:rsidRPr="00FF4CF8">
        <w:rPr>
          <w:color w:val="000000"/>
        </w:rPr>
        <w:t xml:space="preserve"> and legal procedures were noticed.</w:t>
      </w:r>
      <w:r w:rsidR="005B2AF4">
        <w:rPr>
          <w:color w:val="000000"/>
        </w:rPr>
        <w:t xml:space="preserve">  </w:t>
      </w:r>
      <w:r>
        <w:rPr>
          <w:color w:val="000000"/>
        </w:rPr>
        <w:t xml:space="preserve"> </w:t>
      </w:r>
    </w:p>
    <w:p w14:paraId="16A71B01" w14:textId="7E6E59BA" w:rsidR="00024AD4" w:rsidRDefault="00024AD4">
      <w:pPr>
        <w:spacing w:after="0"/>
        <w:jc w:val="left"/>
        <w:rPr>
          <w:rFonts w:asciiTheme="minorHAnsi" w:hAnsiTheme="minorHAnsi"/>
          <w:b/>
          <w:bCs/>
          <w:color w:val="000000" w:themeColor="text1"/>
        </w:rPr>
      </w:pPr>
      <w:bookmarkStart w:id="45" w:name="_Toc22122361"/>
      <w:r>
        <w:rPr>
          <w:rFonts w:asciiTheme="minorHAnsi" w:hAnsiTheme="minorHAnsi"/>
          <w:color w:val="000000" w:themeColor="text1"/>
        </w:rPr>
        <w:br w:type="page"/>
      </w:r>
    </w:p>
    <w:p w14:paraId="6A7533CC" w14:textId="77777777" w:rsidR="006B5AE0" w:rsidRPr="004870C7" w:rsidRDefault="006B5AE0" w:rsidP="006B5AE0">
      <w:pPr>
        <w:pStyle w:val="Heading2"/>
        <w:ind w:hanging="720"/>
        <w:rPr>
          <w:rFonts w:asciiTheme="minorHAnsi" w:hAnsiTheme="minorHAnsi"/>
          <w:color w:val="000000" w:themeColor="text1"/>
        </w:rPr>
      </w:pPr>
    </w:p>
    <w:p w14:paraId="5E5BAA81" w14:textId="0DEE4B46" w:rsidR="006B5AE0" w:rsidRPr="004870C7" w:rsidRDefault="006E7972" w:rsidP="006B5AE0">
      <w:pPr>
        <w:pStyle w:val="Heading2"/>
        <w:ind w:hanging="720"/>
        <w:rPr>
          <w:rFonts w:asciiTheme="minorHAnsi" w:hAnsiTheme="minorHAnsi"/>
          <w:color w:val="000000" w:themeColor="text1"/>
        </w:rPr>
      </w:pPr>
      <w:bookmarkStart w:id="46" w:name="_Toc75965570"/>
      <w:r w:rsidRPr="004870C7">
        <w:rPr>
          <w:rFonts w:asciiTheme="minorHAnsi" w:hAnsiTheme="minorHAnsi"/>
          <w:color w:val="000000" w:themeColor="text1"/>
        </w:rPr>
        <w:t>Annex 1</w:t>
      </w:r>
      <w:r w:rsidR="006B5AE0" w:rsidRPr="004870C7">
        <w:rPr>
          <w:rFonts w:asciiTheme="minorHAnsi" w:hAnsiTheme="minorHAnsi"/>
          <w:color w:val="000000" w:themeColor="text1"/>
        </w:rPr>
        <w:t>4</w:t>
      </w:r>
      <w:r w:rsidRPr="004870C7">
        <w:rPr>
          <w:rFonts w:asciiTheme="minorHAnsi" w:hAnsiTheme="minorHAnsi"/>
          <w:color w:val="000000" w:themeColor="text1"/>
        </w:rPr>
        <w:t>: UNDP Project Quality Assurance Report</w:t>
      </w:r>
      <w:bookmarkEnd w:id="45"/>
      <w:bookmarkEnd w:id="46"/>
    </w:p>
    <w:p w14:paraId="2F461D69" w14:textId="77777777" w:rsidR="006E7972" w:rsidRPr="004870C7" w:rsidRDefault="006E7972" w:rsidP="006E7972">
      <w:pPr>
        <w:tabs>
          <w:tab w:val="left" w:pos="1467"/>
        </w:tabs>
        <w:rPr>
          <w:color w:val="000000" w:themeColor="text1"/>
        </w:rPr>
      </w:pPr>
    </w:p>
    <w:p w14:paraId="2FE306A2" w14:textId="28907C8E" w:rsidR="006E7972" w:rsidRPr="004870C7" w:rsidRDefault="006E7972" w:rsidP="006E7972">
      <w:pPr>
        <w:tabs>
          <w:tab w:val="left" w:pos="1467"/>
        </w:tabs>
        <w:rPr>
          <w:color w:val="000000" w:themeColor="text1"/>
        </w:rPr>
      </w:pPr>
      <w:r w:rsidRPr="00024AD4">
        <w:rPr>
          <w:color w:val="000000" w:themeColor="text1"/>
        </w:rPr>
        <w:t>The Project Quality Assurance Report</w:t>
      </w:r>
      <w:r w:rsidR="00024AD4" w:rsidRPr="00024AD4">
        <w:rPr>
          <w:color w:val="000000" w:themeColor="text1"/>
        </w:rPr>
        <w:t xml:space="preserve"> </w:t>
      </w:r>
      <w:r w:rsidR="002154BA">
        <w:rPr>
          <w:color w:val="000000" w:themeColor="text1"/>
        </w:rPr>
        <w:t>is added as a separate annex to the project document.</w:t>
      </w:r>
    </w:p>
    <w:p w14:paraId="4F75414A" w14:textId="2B88F1A1" w:rsidR="006E7972" w:rsidRPr="004870C7" w:rsidRDefault="006E7972" w:rsidP="00ED625F">
      <w:pPr>
        <w:rPr>
          <w:color w:val="000000"/>
        </w:rPr>
      </w:pPr>
    </w:p>
    <w:p w14:paraId="3FAA8801" w14:textId="586736B7" w:rsidR="009F2F1D" w:rsidRPr="004870C7" w:rsidRDefault="009F2F1D" w:rsidP="00ED625F">
      <w:pPr>
        <w:rPr>
          <w:color w:val="000000"/>
        </w:rPr>
      </w:pPr>
    </w:p>
    <w:p w14:paraId="0AAAF016" w14:textId="5AC93B28" w:rsidR="009F2F1D" w:rsidRPr="004870C7" w:rsidRDefault="009F2F1D" w:rsidP="00ED625F">
      <w:pPr>
        <w:rPr>
          <w:color w:val="000000"/>
        </w:rPr>
      </w:pPr>
    </w:p>
    <w:p w14:paraId="74EF4C16" w14:textId="1B46F10A" w:rsidR="009F2F1D" w:rsidRPr="004870C7" w:rsidRDefault="009F2F1D" w:rsidP="00ED625F">
      <w:pPr>
        <w:rPr>
          <w:color w:val="000000"/>
        </w:rPr>
      </w:pPr>
    </w:p>
    <w:p w14:paraId="0B99C8A7" w14:textId="50B46420" w:rsidR="009F2F1D" w:rsidRPr="004870C7" w:rsidRDefault="009F2F1D" w:rsidP="00ED625F">
      <w:pPr>
        <w:rPr>
          <w:color w:val="000000"/>
        </w:rPr>
      </w:pPr>
    </w:p>
    <w:p w14:paraId="3372102B" w14:textId="47A97E92" w:rsidR="009F2F1D" w:rsidRPr="004870C7" w:rsidRDefault="009F2F1D" w:rsidP="00ED625F">
      <w:pPr>
        <w:rPr>
          <w:color w:val="000000"/>
        </w:rPr>
      </w:pPr>
    </w:p>
    <w:p w14:paraId="4C697065" w14:textId="603A98CD" w:rsidR="009F2F1D" w:rsidRPr="004870C7" w:rsidRDefault="009F2F1D" w:rsidP="00ED625F">
      <w:pPr>
        <w:rPr>
          <w:color w:val="000000"/>
        </w:rPr>
      </w:pPr>
    </w:p>
    <w:p w14:paraId="4304D0C1" w14:textId="2EB3CA35" w:rsidR="009F2F1D" w:rsidRPr="004870C7" w:rsidRDefault="009F2F1D" w:rsidP="00ED625F">
      <w:pPr>
        <w:rPr>
          <w:color w:val="000000"/>
        </w:rPr>
      </w:pPr>
    </w:p>
    <w:p w14:paraId="42611BA3" w14:textId="7D5934FA" w:rsidR="009F2F1D" w:rsidRPr="004870C7" w:rsidRDefault="009F2F1D" w:rsidP="00ED625F">
      <w:pPr>
        <w:rPr>
          <w:color w:val="000000"/>
        </w:rPr>
      </w:pPr>
    </w:p>
    <w:p w14:paraId="62524D75" w14:textId="188E328F" w:rsidR="009F2F1D" w:rsidRPr="004870C7" w:rsidRDefault="009F2F1D" w:rsidP="00ED625F">
      <w:pPr>
        <w:rPr>
          <w:color w:val="000000"/>
        </w:rPr>
      </w:pPr>
    </w:p>
    <w:p w14:paraId="2236474E" w14:textId="5B5F7544" w:rsidR="009F2F1D" w:rsidRPr="004870C7" w:rsidRDefault="009F2F1D" w:rsidP="00ED625F">
      <w:pPr>
        <w:rPr>
          <w:color w:val="000000"/>
        </w:rPr>
      </w:pPr>
    </w:p>
    <w:p w14:paraId="7822A41E" w14:textId="24FF40FD" w:rsidR="009F2F1D" w:rsidRPr="004870C7" w:rsidRDefault="009F2F1D" w:rsidP="00ED625F">
      <w:pPr>
        <w:rPr>
          <w:color w:val="000000"/>
        </w:rPr>
      </w:pPr>
    </w:p>
    <w:p w14:paraId="6F6CE09B" w14:textId="18FA182C" w:rsidR="009F2F1D" w:rsidRPr="004870C7" w:rsidRDefault="009F2F1D" w:rsidP="00ED625F">
      <w:pPr>
        <w:rPr>
          <w:color w:val="000000"/>
        </w:rPr>
      </w:pPr>
    </w:p>
    <w:p w14:paraId="4D7DFF43" w14:textId="512E8BEE" w:rsidR="009F2F1D" w:rsidRPr="004870C7" w:rsidRDefault="009F2F1D" w:rsidP="00ED625F">
      <w:pPr>
        <w:rPr>
          <w:color w:val="000000"/>
        </w:rPr>
      </w:pPr>
    </w:p>
    <w:p w14:paraId="01BB1A62" w14:textId="7D7C69AA" w:rsidR="009F2F1D" w:rsidRPr="004870C7" w:rsidRDefault="009F2F1D" w:rsidP="00ED625F">
      <w:pPr>
        <w:rPr>
          <w:color w:val="000000"/>
        </w:rPr>
      </w:pPr>
    </w:p>
    <w:p w14:paraId="28EE8F27" w14:textId="53ECA17D" w:rsidR="009F2F1D" w:rsidRPr="004870C7" w:rsidRDefault="009F2F1D" w:rsidP="00ED625F">
      <w:pPr>
        <w:rPr>
          <w:color w:val="000000"/>
        </w:rPr>
      </w:pPr>
    </w:p>
    <w:p w14:paraId="37FC0DAE" w14:textId="67057CF4" w:rsidR="009F2F1D" w:rsidRPr="004870C7" w:rsidRDefault="009F2F1D" w:rsidP="00ED625F">
      <w:pPr>
        <w:rPr>
          <w:color w:val="000000"/>
        </w:rPr>
      </w:pPr>
    </w:p>
    <w:p w14:paraId="5897822B" w14:textId="7367571E" w:rsidR="009F2F1D" w:rsidRPr="004870C7" w:rsidRDefault="009F2F1D" w:rsidP="00ED625F">
      <w:pPr>
        <w:rPr>
          <w:color w:val="000000"/>
        </w:rPr>
      </w:pPr>
    </w:p>
    <w:p w14:paraId="5E8603B2" w14:textId="6500D698" w:rsidR="009F2F1D" w:rsidRPr="004870C7" w:rsidRDefault="009F2F1D" w:rsidP="00ED625F">
      <w:pPr>
        <w:rPr>
          <w:color w:val="000000"/>
        </w:rPr>
      </w:pPr>
    </w:p>
    <w:p w14:paraId="6C35820C" w14:textId="448BCAF9" w:rsidR="009F2F1D" w:rsidRPr="004870C7" w:rsidRDefault="009F2F1D" w:rsidP="00ED625F">
      <w:pPr>
        <w:rPr>
          <w:color w:val="000000"/>
        </w:rPr>
      </w:pPr>
    </w:p>
    <w:p w14:paraId="41F688D9" w14:textId="798554FE" w:rsidR="009F2F1D" w:rsidRPr="004870C7" w:rsidRDefault="009F2F1D" w:rsidP="00ED625F">
      <w:pPr>
        <w:rPr>
          <w:color w:val="000000"/>
        </w:rPr>
      </w:pPr>
    </w:p>
    <w:p w14:paraId="0B1A9D9F" w14:textId="5B09FDF7" w:rsidR="009F2F1D" w:rsidRPr="004870C7" w:rsidRDefault="009F2F1D" w:rsidP="00ED625F">
      <w:pPr>
        <w:rPr>
          <w:color w:val="000000"/>
        </w:rPr>
      </w:pPr>
    </w:p>
    <w:p w14:paraId="2960E5D1" w14:textId="5331460A" w:rsidR="009F2F1D" w:rsidRPr="004870C7" w:rsidRDefault="009F2F1D" w:rsidP="00ED625F">
      <w:pPr>
        <w:rPr>
          <w:color w:val="000000"/>
        </w:rPr>
      </w:pPr>
    </w:p>
    <w:p w14:paraId="2458C513" w14:textId="4175C3B3" w:rsidR="009F2F1D" w:rsidRPr="004870C7" w:rsidRDefault="009F2F1D" w:rsidP="00ED625F">
      <w:pPr>
        <w:rPr>
          <w:color w:val="000000"/>
        </w:rPr>
      </w:pPr>
    </w:p>
    <w:p w14:paraId="5DE18344" w14:textId="4BFFC606" w:rsidR="00932753" w:rsidRPr="004870C7" w:rsidRDefault="00932753">
      <w:pPr>
        <w:spacing w:after="0"/>
        <w:jc w:val="left"/>
        <w:rPr>
          <w:color w:val="000000"/>
        </w:rPr>
      </w:pPr>
      <w:r w:rsidRPr="004870C7">
        <w:rPr>
          <w:color w:val="000000"/>
        </w:rPr>
        <w:br w:type="page"/>
      </w:r>
    </w:p>
    <w:p w14:paraId="7FC9464B" w14:textId="185A2781" w:rsidR="009F2F1D" w:rsidRPr="004870C7" w:rsidRDefault="009F2F1D" w:rsidP="009F2F1D">
      <w:pPr>
        <w:pStyle w:val="Heading2"/>
        <w:ind w:left="0"/>
        <w:rPr>
          <w:rFonts w:ascii="Calibri" w:hAnsi="Calibri"/>
          <w:szCs w:val="22"/>
        </w:rPr>
      </w:pPr>
      <w:bookmarkStart w:id="47" w:name="_Toc47552670"/>
      <w:bookmarkStart w:id="48" w:name="_Toc75965571"/>
      <w:bookmarkStart w:id="49" w:name="_Hlk71027400"/>
      <w:r w:rsidRPr="004870C7">
        <w:rPr>
          <w:rFonts w:ascii="Calibri" w:hAnsi="Calibri"/>
          <w:szCs w:val="22"/>
        </w:rPr>
        <w:lastRenderedPageBreak/>
        <w:t xml:space="preserve">Annex </w:t>
      </w:r>
      <w:r w:rsidR="0015330A" w:rsidRPr="004870C7">
        <w:rPr>
          <w:rFonts w:ascii="Calibri" w:hAnsi="Calibri"/>
          <w:szCs w:val="22"/>
        </w:rPr>
        <w:t>1</w:t>
      </w:r>
      <w:r w:rsidR="006B5AE0" w:rsidRPr="004870C7">
        <w:rPr>
          <w:rFonts w:ascii="Calibri" w:hAnsi="Calibri"/>
          <w:szCs w:val="22"/>
        </w:rPr>
        <w:t>5</w:t>
      </w:r>
      <w:r w:rsidRPr="004870C7">
        <w:rPr>
          <w:rFonts w:ascii="Calibri" w:hAnsi="Calibri"/>
          <w:szCs w:val="22"/>
        </w:rPr>
        <w:t>:  Project Terminal report (End of Project report)</w:t>
      </w:r>
      <w:bookmarkEnd w:id="47"/>
      <w:bookmarkEnd w:id="48"/>
    </w:p>
    <w:bookmarkEnd w:id="49"/>
    <w:p w14:paraId="679AABE5" w14:textId="77777777" w:rsidR="009F2F1D" w:rsidRPr="004870C7" w:rsidRDefault="009F2F1D" w:rsidP="009F2F1D">
      <w:pPr>
        <w:spacing w:after="0"/>
        <w:jc w:val="left"/>
      </w:pPr>
    </w:p>
    <w:p w14:paraId="33C16BC0" w14:textId="77777777" w:rsidR="009F2F1D" w:rsidRPr="004870C7" w:rsidRDefault="009F2F1D" w:rsidP="009F2F1D">
      <w:pPr>
        <w:spacing w:after="0"/>
        <w:jc w:val="left"/>
      </w:pPr>
    </w:p>
    <w:p w14:paraId="1E4F6C62" w14:textId="77777777" w:rsidR="009F2F1D" w:rsidRPr="004870C7" w:rsidRDefault="009F2F1D" w:rsidP="009F2F1D">
      <w:r w:rsidRPr="004870C7">
        <w:t>TEMPLATE</w:t>
      </w:r>
    </w:p>
    <w:p w14:paraId="67FDB7F4" w14:textId="77777777" w:rsidR="009F2F1D" w:rsidRPr="004870C7" w:rsidRDefault="009F2F1D" w:rsidP="009F2F1D">
      <w:pPr>
        <w:jc w:val="center"/>
        <w:rPr>
          <w:bCs/>
          <w:color w:val="4472C4" w:themeColor="accent1"/>
        </w:rPr>
      </w:pPr>
      <w:r w:rsidRPr="004870C7">
        <w:rPr>
          <w:b/>
          <w:bCs/>
          <w:color w:val="4472C4" w:themeColor="accent1"/>
        </w:rPr>
        <w:t>FINAL REPORT OF [country’s name] NATIONAL COMMUNICATION’S / BIENNIAL UPDATE REPORT’S PROJECT</w:t>
      </w:r>
    </w:p>
    <w:p w14:paraId="0B86E901" w14:textId="77777777" w:rsidR="009F2F1D" w:rsidRPr="004870C7" w:rsidRDefault="009F2F1D" w:rsidP="009F2F1D">
      <w:pPr>
        <w:rPr>
          <w:rFonts w:asciiTheme="minorHAnsi" w:hAnsiTheme="minorHAnsi" w:cstheme="minorHAnsi"/>
          <w:szCs w:val="20"/>
        </w:rPr>
      </w:pPr>
    </w:p>
    <w:p w14:paraId="51A58B4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Monitoring and Evaluation plans of climate change enabling activities for the preparation of National Communications on Climate Change and/or Biennial Update Reports do not require the production and publication of Terminal Evaluation Reports. Therefore, a number of intended purposes of such terminal exercises are not captured in full, including:</w:t>
      </w:r>
    </w:p>
    <w:p w14:paraId="56DCFA4F" w14:textId="77777777" w:rsidR="009F2F1D" w:rsidRPr="004870C7" w:rsidRDefault="009F2F1D" w:rsidP="009F2F1D">
      <w:pPr>
        <w:pStyle w:val="ListParagraph"/>
        <w:numPr>
          <w:ilvl w:val="0"/>
          <w:numId w:val="41"/>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The promotion of accountability and transparency, and the assessment and disclosure of the extent of the project accomplishments;</w:t>
      </w:r>
    </w:p>
    <w:p w14:paraId="767B8888" w14:textId="77777777" w:rsidR="009F2F1D" w:rsidRPr="004870C7" w:rsidRDefault="009F2F1D" w:rsidP="009F2F1D">
      <w:pPr>
        <w:pStyle w:val="ListParagraph"/>
        <w:numPr>
          <w:ilvl w:val="0"/>
          <w:numId w:val="41"/>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A synthesis of lessons that can help to improve the selection, design and implementation of future GEF financed UNDP activities;</w:t>
      </w:r>
    </w:p>
    <w:p w14:paraId="7C31AF75" w14:textId="77777777" w:rsidR="009F2F1D" w:rsidRPr="004870C7" w:rsidRDefault="009F2F1D" w:rsidP="009F2F1D">
      <w:pPr>
        <w:pStyle w:val="ListParagraph"/>
        <w:numPr>
          <w:ilvl w:val="0"/>
          <w:numId w:val="41"/>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The provision of feedback on issues that are recurrent across the portfolio, attention needed, and on improvements regarding previously identified issues; and</w:t>
      </w:r>
    </w:p>
    <w:p w14:paraId="192504A2" w14:textId="77777777" w:rsidR="009F2F1D" w:rsidRPr="004870C7" w:rsidRDefault="009F2F1D" w:rsidP="009F2F1D">
      <w:pPr>
        <w:pStyle w:val="ListParagraph"/>
        <w:numPr>
          <w:ilvl w:val="0"/>
          <w:numId w:val="41"/>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 xml:space="preserve">The contribution to the GEF Evaluation Office databases for aggregation, analysis and reporting on effectiveness of GEF operations in achieving global environmental benefits and on the quality of monitoring and evaluation across the GEF system. </w:t>
      </w:r>
    </w:p>
    <w:p w14:paraId="3C2F685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The intent of this Final Report is not to propose an abridged alternative to the Terminal Evaluation Report. Instead, its purpose is to gather some insightful details about the process of preparing the mandatory report under the UNFCCC that can be of use to both the UNDP support teams, and the current and future national project teams. Its focus is therefore on providing:</w:t>
      </w:r>
    </w:p>
    <w:p w14:paraId="01C2688A" w14:textId="77777777" w:rsidR="009F2F1D" w:rsidRPr="004870C7" w:rsidRDefault="009F2F1D" w:rsidP="009F2F1D">
      <w:pPr>
        <w:pStyle w:val="ListParagraph"/>
        <w:numPr>
          <w:ilvl w:val="0"/>
          <w:numId w:val="42"/>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A synthesis of lessons that can help to improve the selection, design and implementation of future GEF financed UNDP activities; and</w:t>
      </w:r>
    </w:p>
    <w:p w14:paraId="1A311994" w14:textId="77777777" w:rsidR="009F2F1D" w:rsidRPr="004870C7" w:rsidRDefault="009F2F1D" w:rsidP="009F2F1D">
      <w:pPr>
        <w:pStyle w:val="ListParagraph"/>
        <w:numPr>
          <w:ilvl w:val="0"/>
          <w:numId w:val="42"/>
        </w:numPr>
        <w:spacing w:after="200" w:line="276" w:lineRule="auto"/>
        <w:contextualSpacing/>
        <w:jc w:val="both"/>
        <w:rPr>
          <w:rFonts w:asciiTheme="minorHAnsi" w:hAnsiTheme="minorHAnsi" w:cstheme="minorHAnsi"/>
          <w:sz w:val="20"/>
          <w:szCs w:val="20"/>
        </w:rPr>
      </w:pPr>
      <w:r w:rsidRPr="004870C7">
        <w:rPr>
          <w:rFonts w:asciiTheme="minorHAnsi" w:hAnsiTheme="minorHAnsi" w:cstheme="minorHAnsi"/>
          <w:sz w:val="20"/>
          <w:szCs w:val="20"/>
        </w:rPr>
        <w:t xml:space="preserve">Feedback on issues that are recurrent across the portfolio, attention needed, and on improvements regarding previously identified issues. </w:t>
      </w:r>
    </w:p>
    <w:p w14:paraId="68AEF30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 xml:space="preserve">National project teams in charge of the future enabling activity for the preparation of the National Communication or Biennial Update Report can therefore rely on a valuable source of information from inception to closure of the project, and UNDP support teams can further disseminate lessons across borders, fully up-taking its guiding role as implementing agency and partner within the Global Support Programme (GSP, previously known as National Communications Support Programme). </w:t>
      </w:r>
    </w:p>
    <w:p w14:paraId="1AADF6C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 xml:space="preserve">The template has been designed with the purpose of collecting relevant information, without representing a time-intensive and human resource-intensive burden to the current national project team. It is therefore divided into three core sections – project identification phase, project implementation phase and project follow-up –with for each section a limited number of open questions. </w:t>
      </w:r>
    </w:p>
    <w:p w14:paraId="1EE0588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 xml:space="preserve">The intention is to have the team leader, project manager or equivalent figure completing the template, in close collaboration with other team members within the last two months of project implementation. It is furthermore the intention of the completion of this Final Report to trigger the discussions of the upcoming National Communication and/or Biennial Update Report, taking advantage of the momentum created by the ongoing project, the presence of the core of the current national project team, and the renewed interest of national counterparts with the perspectives of an eminent or recent submission to the UNFCCC. </w:t>
      </w:r>
    </w:p>
    <w:p w14:paraId="1FB1FE87" w14:textId="77777777" w:rsidR="009F2F1D" w:rsidRPr="004870C7" w:rsidRDefault="009F2F1D" w:rsidP="009F2F1D">
      <w:pPr>
        <w:rPr>
          <w:rFonts w:asciiTheme="minorHAnsi" w:hAnsiTheme="minorHAnsi" w:cstheme="minorHAnsi"/>
          <w:b/>
          <w:bCs/>
          <w:color w:val="0070C0"/>
          <w:szCs w:val="20"/>
        </w:rPr>
      </w:pPr>
      <w:r w:rsidRPr="004870C7">
        <w:rPr>
          <w:rFonts w:asciiTheme="minorHAnsi" w:hAnsiTheme="minorHAnsi" w:cstheme="minorHAnsi"/>
          <w:szCs w:val="20"/>
        </w:rPr>
        <w:t xml:space="preserve">The completion of this template has been made mandatory and has been budgeted for in all projects that received approval post 2013 (3 working days equivalent of project manager’s time). You are kindly invited to send the completed template to Damiano Borgogno, </w:t>
      </w:r>
      <w:hyperlink r:id="rId38" w:history="1">
        <w:r w:rsidRPr="004870C7">
          <w:rPr>
            <w:rStyle w:val="Hyperlink"/>
            <w:rFonts w:asciiTheme="minorHAnsi" w:hAnsiTheme="minorHAnsi" w:cstheme="minorHAnsi"/>
            <w:szCs w:val="20"/>
          </w:rPr>
          <w:t>damiano.borgogno@undp.org</w:t>
        </w:r>
      </w:hyperlink>
      <w:r w:rsidRPr="004870C7">
        <w:rPr>
          <w:rFonts w:asciiTheme="minorHAnsi" w:hAnsiTheme="minorHAnsi" w:cstheme="minorHAnsi"/>
          <w:szCs w:val="20"/>
        </w:rPr>
        <w:t xml:space="preserve"> and to Eva Huttova, </w:t>
      </w:r>
      <w:hyperlink r:id="rId39" w:history="1">
        <w:r w:rsidRPr="004870C7">
          <w:rPr>
            <w:rStyle w:val="Hyperlink"/>
            <w:rFonts w:asciiTheme="minorHAnsi" w:hAnsiTheme="minorHAnsi" w:cstheme="minorHAnsi"/>
            <w:szCs w:val="20"/>
          </w:rPr>
          <w:t>eva.huttova@undp.org</w:t>
        </w:r>
      </w:hyperlink>
      <w:r w:rsidRPr="004870C7">
        <w:rPr>
          <w:rFonts w:asciiTheme="minorHAnsi" w:hAnsiTheme="minorHAnsi" w:cstheme="minorHAnsi"/>
          <w:szCs w:val="20"/>
        </w:rPr>
        <w:t>.</w:t>
      </w:r>
      <w:r w:rsidRPr="004870C7">
        <w:rPr>
          <w:rFonts w:asciiTheme="minorHAnsi" w:hAnsiTheme="minorHAnsi" w:cstheme="minorHAnsi"/>
          <w:color w:val="0070C0"/>
          <w:szCs w:val="20"/>
        </w:rPr>
        <w:br w:type="page"/>
      </w:r>
    </w:p>
    <w:p w14:paraId="0A7E4AB3" w14:textId="77777777" w:rsidR="009F2F1D" w:rsidRPr="004870C7" w:rsidRDefault="009F2F1D" w:rsidP="009F2F1D">
      <w:pPr>
        <w:ind w:left="1980" w:hanging="1980"/>
        <w:rPr>
          <w:color w:val="4472C4" w:themeColor="accent1"/>
        </w:rPr>
      </w:pPr>
      <w:r w:rsidRPr="004870C7">
        <w:rPr>
          <w:b/>
          <w:bCs/>
          <w:color w:val="4472C4" w:themeColor="accent1"/>
        </w:rPr>
        <w:lastRenderedPageBreak/>
        <w:t>A.   Details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492"/>
      </w:tblGrid>
      <w:tr w:rsidR="009F2F1D" w:rsidRPr="004870C7" w14:paraId="7987E637" w14:textId="77777777" w:rsidTr="0032777B">
        <w:tc>
          <w:tcPr>
            <w:tcW w:w="2898" w:type="dxa"/>
            <w:shd w:val="clear" w:color="auto" w:fill="auto"/>
          </w:tcPr>
          <w:p w14:paraId="2A047DB6"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Project’s title</w:t>
            </w:r>
          </w:p>
        </w:tc>
        <w:tc>
          <w:tcPr>
            <w:tcW w:w="6678" w:type="dxa"/>
            <w:shd w:val="clear" w:color="auto" w:fill="auto"/>
          </w:tcPr>
          <w:p w14:paraId="095769F1" w14:textId="77777777" w:rsidR="009F2F1D" w:rsidRPr="004870C7" w:rsidRDefault="009F2F1D" w:rsidP="0032777B">
            <w:pPr>
              <w:rPr>
                <w:rFonts w:asciiTheme="minorHAnsi" w:hAnsiTheme="minorHAnsi" w:cstheme="minorHAnsi"/>
                <w:szCs w:val="20"/>
              </w:rPr>
            </w:pPr>
          </w:p>
        </w:tc>
      </w:tr>
      <w:tr w:rsidR="009F2F1D" w:rsidRPr="004870C7" w14:paraId="51EC46E6" w14:textId="77777777" w:rsidTr="0032777B">
        <w:tc>
          <w:tcPr>
            <w:tcW w:w="2898" w:type="dxa"/>
            <w:shd w:val="clear" w:color="auto" w:fill="auto"/>
          </w:tcPr>
          <w:p w14:paraId="6D97B780"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PIMS number</w:t>
            </w:r>
          </w:p>
        </w:tc>
        <w:tc>
          <w:tcPr>
            <w:tcW w:w="6678" w:type="dxa"/>
            <w:shd w:val="clear" w:color="auto" w:fill="auto"/>
          </w:tcPr>
          <w:p w14:paraId="70679C83" w14:textId="77777777" w:rsidR="009F2F1D" w:rsidRPr="004870C7" w:rsidRDefault="009F2F1D" w:rsidP="0032777B">
            <w:pPr>
              <w:rPr>
                <w:rFonts w:asciiTheme="minorHAnsi" w:hAnsiTheme="minorHAnsi" w:cstheme="minorHAnsi"/>
                <w:szCs w:val="20"/>
              </w:rPr>
            </w:pPr>
          </w:p>
        </w:tc>
      </w:tr>
      <w:tr w:rsidR="009F2F1D" w:rsidRPr="004870C7" w14:paraId="671B381E" w14:textId="77777777" w:rsidTr="0032777B">
        <w:tc>
          <w:tcPr>
            <w:tcW w:w="2898" w:type="dxa"/>
            <w:shd w:val="clear" w:color="auto" w:fill="auto"/>
          </w:tcPr>
          <w:p w14:paraId="7068C263"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Overall budget</w:t>
            </w:r>
          </w:p>
          <w:p w14:paraId="7DF65230"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 xml:space="preserve"> including GEF grant</w:t>
            </w:r>
          </w:p>
          <w:p w14:paraId="6DBBEFF3"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 xml:space="preserve"> including co-financing</w:t>
            </w:r>
          </w:p>
        </w:tc>
        <w:tc>
          <w:tcPr>
            <w:tcW w:w="6678" w:type="dxa"/>
            <w:shd w:val="clear" w:color="auto" w:fill="auto"/>
          </w:tcPr>
          <w:p w14:paraId="5DF12880" w14:textId="77777777" w:rsidR="009F2F1D" w:rsidRPr="004870C7" w:rsidRDefault="009F2F1D" w:rsidP="0032777B">
            <w:pPr>
              <w:rPr>
                <w:rFonts w:asciiTheme="minorHAnsi" w:hAnsiTheme="minorHAnsi" w:cstheme="minorHAnsi"/>
                <w:szCs w:val="20"/>
              </w:rPr>
            </w:pPr>
          </w:p>
          <w:p w14:paraId="07AB8DA5" w14:textId="77777777" w:rsidR="009F2F1D" w:rsidRPr="004870C7" w:rsidRDefault="009F2F1D" w:rsidP="0032777B">
            <w:pPr>
              <w:rPr>
                <w:rFonts w:asciiTheme="minorHAnsi" w:hAnsiTheme="minorHAnsi" w:cstheme="minorHAnsi"/>
                <w:szCs w:val="20"/>
              </w:rPr>
            </w:pPr>
          </w:p>
          <w:p w14:paraId="5B65AFEF" w14:textId="77777777" w:rsidR="009F2F1D" w:rsidRPr="004870C7" w:rsidRDefault="009F2F1D" w:rsidP="0032777B">
            <w:pPr>
              <w:rPr>
                <w:rFonts w:asciiTheme="minorHAnsi" w:hAnsiTheme="minorHAnsi" w:cstheme="minorHAnsi"/>
                <w:szCs w:val="20"/>
              </w:rPr>
            </w:pPr>
          </w:p>
        </w:tc>
      </w:tr>
      <w:tr w:rsidR="009F2F1D" w:rsidRPr="004870C7" w14:paraId="78F110EA" w14:textId="77777777" w:rsidTr="0032777B">
        <w:tc>
          <w:tcPr>
            <w:tcW w:w="2898" w:type="dxa"/>
            <w:shd w:val="clear" w:color="auto" w:fill="auto"/>
          </w:tcPr>
          <w:p w14:paraId="1A44BE01"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Duration of implementation</w:t>
            </w:r>
          </w:p>
        </w:tc>
        <w:tc>
          <w:tcPr>
            <w:tcW w:w="6678" w:type="dxa"/>
            <w:shd w:val="clear" w:color="auto" w:fill="auto"/>
          </w:tcPr>
          <w:p w14:paraId="5A39DD71" w14:textId="77777777" w:rsidR="009F2F1D" w:rsidRPr="004870C7" w:rsidRDefault="009F2F1D" w:rsidP="0032777B">
            <w:pPr>
              <w:rPr>
                <w:rFonts w:asciiTheme="minorHAnsi" w:hAnsiTheme="minorHAnsi" w:cstheme="minorHAnsi"/>
                <w:szCs w:val="20"/>
              </w:rPr>
            </w:pPr>
          </w:p>
        </w:tc>
      </w:tr>
      <w:tr w:rsidR="009F2F1D" w:rsidRPr="004870C7" w14:paraId="4CEB824A" w14:textId="77777777" w:rsidTr="0032777B">
        <w:tc>
          <w:tcPr>
            <w:tcW w:w="2898" w:type="dxa"/>
            <w:shd w:val="clear" w:color="auto" w:fill="auto"/>
          </w:tcPr>
          <w:p w14:paraId="5322CB2E"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Planned duration of project</w:t>
            </w:r>
          </w:p>
        </w:tc>
        <w:tc>
          <w:tcPr>
            <w:tcW w:w="6678" w:type="dxa"/>
            <w:shd w:val="clear" w:color="auto" w:fill="auto"/>
          </w:tcPr>
          <w:p w14:paraId="78D98C62" w14:textId="77777777" w:rsidR="009F2F1D" w:rsidRPr="004870C7" w:rsidRDefault="009F2F1D" w:rsidP="0032777B">
            <w:pPr>
              <w:rPr>
                <w:rFonts w:asciiTheme="minorHAnsi" w:hAnsiTheme="minorHAnsi" w:cstheme="minorHAnsi"/>
                <w:szCs w:val="20"/>
              </w:rPr>
            </w:pPr>
          </w:p>
        </w:tc>
      </w:tr>
      <w:tr w:rsidR="009F2F1D" w:rsidRPr="004870C7" w14:paraId="1BEE1CE1" w14:textId="77777777" w:rsidTr="0032777B">
        <w:tc>
          <w:tcPr>
            <w:tcW w:w="2898" w:type="dxa"/>
            <w:shd w:val="clear" w:color="auto" w:fill="auto"/>
          </w:tcPr>
          <w:p w14:paraId="01F21FF0"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Implementing partner</w:t>
            </w:r>
          </w:p>
        </w:tc>
        <w:tc>
          <w:tcPr>
            <w:tcW w:w="6678" w:type="dxa"/>
            <w:shd w:val="clear" w:color="auto" w:fill="auto"/>
          </w:tcPr>
          <w:p w14:paraId="40BFDF81" w14:textId="77777777" w:rsidR="009F2F1D" w:rsidRPr="004870C7" w:rsidRDefault="009F2F1D" w:rsidP="0032777B">
            <w:pPr>
              <w:rPr>
                <w:rFonts w:asciiTheme="minorHAnsi" w:hAnsiTheme="minorHAnsi" w:cstheme="minorHAnsi"/>
                <w:szCs w:val="20"/>
              </w:rPr>
            </w:pPr>
          </w:p>
        </w:tc>
      </w:tr>
      <w:tr w:rsidR="009F2F1D" w:rsidRPr="004870C7" w14:paraId="0996B82F" w14:textId="77777777" w:rsidTr="0032777B">
        <w:tc>
          <w:tcPr>
            <w:tcW w:w="2898" w:type="dxa"/>
            <w:shd w:val="clear" w:color="auto" w:fill="auto"/>
          </w:tcPr>
          <w:p w14:paraId="18D69305"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Team Leader’s name and contact details</w:t>
            </w:r>
          </w:p>
        </w:tc>
        <w:tc>
          <w:tcPr>
            <w:tcW w:w="6678" w:type="dxa"/>
            <w:shd w:val="clear" w:color="auto" w:fill="auto"/>
          </w:tcPr>
          <w:p w14:paraId="7AD2F1E4" w14:textId="77777777" w:rsidR="009F2F1D" w:rsidRPr="004870C7" w:rsidRDefault="009F2F1D" w:rsidP="0032777B">
            <w:pPr>
              <w:rPr>
                <w:rFonts w:asciiTheme="minorHAnsi" w:hAnsiTheme="minorHAnsi" w:cstheme="minorHAnsi"/>
                <w:szCs w:val="20"/>
              </w:rPr>
            </w:pPr>
          </w:p>
        </w:tc>
      </w:tr>
      <w:tr w:rsidR="009F2F1D" w:rsidRPr="004870C7" w14:paraId="495C1E0D" w14:textId="77777777" w:rsidTr="0032777B">
        <w:tc>
          <w:tcPr>
            <w:tcW w:w="2898" w:type="dxa"/>
            <w:shd w:val="clear" w:color="auto" w:fill="auto"/>
          </w:tcPr>
          <w:p w14:paraId="76249C64"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Link to final report</w:t>
            </w:r>
          </w:p>
        </w:tc>
        <w:tc>
          <w:tcPr>
            <w:tcW w:w="6678" w:type="dxa"/>
            <w:shd w:val="clear" w:color="auto" w:fill="auto"/>
          </w:tcPr>
          <w:p w14:paraId="7590A6CE" w14:textId="77777777" w:rsidR="009F2F1D" w:rsidRPr="004870C7" w:rsidRDefault="009F2F1D" w:rsidP="0032777B">
            <w:pPr>
              <w:rPr>
                <w:rFonts w:asciiTheme="minorHAnsi" w:hAnsiTheme="minorHAnsi" w:cstheme="minorHAnsi"/>
                <w:szCs w:val="20"/>
              </w:rPr>
            </w:pPr>
          </w:p>
        </w:tc>
      </w:tr>
    </w:tbl>
    <w:p w14:paraId="6DF9C43E" w14:textId="77777777" w:rsidR="009F2F1D" w:rsidRPr="004870C7" w:rsidRDefault="009F2F1D" w:rsidP="009F2F1D">
      <w:pPr>
        <w:rPr>
          <w:rFonts w:asciiTheme="minorHAnsi" w:hAnsiTheme="minorHAnsi" w:cstheme="minorHAnsi"/>
          <w:szCs w:val="20"/>
        </w:rPr>
      </w:pPr>
    </w:p>
    <w:p w14:paraId="21EA7177" w14:textId="77777777" w:rsidR="009F2F1D" w:rsidRPr="004870C7" w:rsidRDefault="009F2F1D" w:rsidP="009F2F1D">
      <w:pPr>
        <w:ind w:left="1980" w:hanging="1980"/>
        <w:rPr>
          <w:color w:val="4472C4" w:themeColor="accent1"/>
        </w:rPr>
      </w:pPr>
      <w:r w:rsidRPr="004870C7">
        <w:rPr>
          <w:b/>
          <w:bCs/>
          <w:color w:val="4472C4" w:themeColor="accent1"/>
        </w:rPr>
        <w:t>B.   Project identification phase</w:t>
      </w:r>
    </w:p>
    <w:p w14:paraId="3A0FAE49"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Duration of preparatory phase (expressed in months) ________________________________________</w:t>
      </w:r>
    </w:p>
    <w:p w14:paraId="069DE80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Was the project document developed by a national/international consultant? (Please, provide name if yes and expand on the satisfaction of this collaboration.)</w:t>
      </w:r>
    </w:p>
    <w:p w14:paraId="72DA651F"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F6652A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37D4B7F"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8C632E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Please, shortly describe the milestones of this initial preparatory phase (e.g. consultation workshops held, telephone interviews with key stakeholders, among others)</w:t>
      </w:r>
    </w:p>
    <w:p w14:paraId="369AE99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FFFDF0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61C10F2"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DC2E21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8676AF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27F2F77" w14:textId="77777777" w:rsidR="009F2F1D" w:rsidRPr="004870C7" w:rsidRDefault="009F2F1D" w:rsidP="009F2F1D">
      <w:pPr>
        <w:rPr>
          <w:rFonts w:asciiTheme="minorHAnsi" w:hAnsiTheme="minorHAnsi" w:cstheme="minorHAnsi"/>
          <w:szCs w:val="20"/>
        </w:rPr>
      </w:pPr>
    </w:p>
    <w:p w14:paraId="544CC8D0" w14:textId="77777777" w:rsidR="009F2F1D" w:rsidRPr="004870C7" w:rsidRDefault="009F2F1D" w:rsidP="009F2F1D">
      <w:pPr>
        <w:rPr>
          <w:rFonts w:asciiTheme="minorHAnsi" w:hAnsiTheme="minorHAnsi" w:cstheme="minorHAnsi"/>
          <w:szCs w:val="20"/>
        </w:rPr>
      </w:pPr>
    </w:p>
    <w:p w14:paraId="20C0B29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Where consultations made with one or more of the following stakeholder groups?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13"/>
        <w:gridCol w:w="355"/>
        <w:gridCol w:w="4409"/>
      </w:tblGrid>
      <w:tr w:rsidR="009F2F1D" w:rsidRPr="004870C7" w14:paraId="35A629E8" w14:textId="77777777" w:rsidTr="0032777B">
        <w:tc>
          <w:tcPr>
            <w:tcW w:w="360" w:type="dxa"/>
            <w:shd w:val="clear" w:color="auto" w:fill="auto"/>
          </w:tcPr>
          <w:p w14:paraId="1B8F712B"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68F54833"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Ministry of Finance (or equivalent)</w:t>
            </w:r>
          </w:p>
        </w:tc>
        <w:tc>
          <w:tcPr>
            <w:tcW w:w="360" w:type="dxa"/>
            <w:shd w:val="clear" w:color="auto" w:fill="auto"/>
          </w:tcPr>
          <w:p w14:paraId="24DFB49B"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35205D40"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Women’s associations</w:t>
            </w:r>
          </w:p>
        </w:tc>
      </w:tr>
      <w:tr w:rsidR="009F2F1D" w:rsidRPr="004870C7" w14:paraId="57422C95" w14:textId="77777777" w:rsidTr="0032777B">
        <w:tc>
          <w:tcPr>
            <w:tcW w:w="360" w:type="dxa"/>
            <w:shd w:val="clear" w:color="auto" w:fill="auto"/>
          </w:tcPr>
          <w:p w14:paraId="42A271F6"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6CFACB8C"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Other Ministries (not being the Ministry in charge of climate change)</w:t>
            </w:r>
          </w:p>
        </w:tc>
        <w:tc>
          <w:tcPr>
            <w:tcW w:w="360" w:type="dxa"/>
            <w:shd w:val="clear" w:color="auto" w:fill="auto"/>
          </w:tcPr>
          <w:p w14:paraId="6C5FAA40"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2D1344C6"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Youth movements</w:t>
            </w:r>
          </w:p>
        </w:tc>
      </w:tr>
      <w:tr w:rsidR="009F2F1D" w:rsidRPr="004870C7" w14:paraId="4AB01CDA" w14:textId="77777777" w:rsidTr="0032777B">
        <w:tc>
          <w:tcPr>
            <w:tcW w:w="360" w:type="dxa"/>
            <w:shd w:val="clear" w:color="auto" w:fill="auto"/>
          </w:tcPr>
          <w:p w14:paraId="20B52300"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600C8CCB"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Local Governments</w:t>
            </w:r>
          </w:p>
        </w:tc>
        <w:tc>
          <w:tcPr>
            <w:tcW w:w="360" w:type="dxa"/>
            <w:shd w:val="clear" w:color="auto" w:fill="auto"/>
          </w:tcPr>
          <w:p w14:paraId="5C8220C2"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072FAA97"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Indigenous peoples’ representatives</w:t>
            </w:r>
          </w:p>
        </w:tc>
      </w:tr>
      <w:tr w:rsidR="009F2F1D" w:rsidRPr="004870C7" w14:paraId="304DCA8F" w14:textId="77777777" w:rsidTr="0032777B">
        <w:tc>
          <w:tcPr>
            <w:tcW w:w="360" w:type="dxa"/>
            <w:shd w:val="clear" w:color="auto" w:fill="auto"/>
          </w:tcPr>
          <w:p w14:paraId="614FA14C"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46EBD31A"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National universities</w:t>
            </w:r>
          </w:p>
        </w:tc>
        <w:tc>
          <w:tcPr>
            <w:tcW w:w="360" w:type="dxa"/>
            <w:shd w:val="clear" w:color="auto" w:fill="auto"/>
          </w:tcPr>
          <w:p w14:paraId="600E54E6"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20DBEE32"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Environment or climate related NGOs</w:t>
            </w:r>
          </w:p>
        </w:tc>
      </w:tr>
      <w:tr w:rsidR="009F2F1D" w:rsidRPr="004870C7" w14:paraId="7BFA623B" w14:textId="77777777" w:rsidTr="0032777B">
        <w:tc>
          <w:tcPr>
            <w:tcW w:w="360" w:type="dxa"/>
            <w:shd w:val="clear" w:color="auto" w:fill="auto"/>
          </w:tcPr>
          <w:p w14:paraId="336093FC"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1B1A01B1"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Domestic Research Centers</w:t>
            </w:r>
          </w:p>
        </w:tc>
        <w:tc>
          <w:tcPr>
            <w:tcW w:w="360" w:type="dxa"/>
            <w:shd w:val="clear" w:color="auto" w:fill="auto"/>
          </w:tcPr>
          <w:p w14:paraId="4FBFA04B"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0575318B"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Other NGOs/CSOs</w:t>
            </w:r>
          </w:p>
        </w:tc>
      </w:tr>
      <w:tr w:rsidR="009F2F1D" w:rsidRPr="004870C7" w14:paraId="06C7CDE9" w14:textId="77777777" w:rsidTr="0032777B">
        <w:tc>
          <w:tcPr>
            <w:tcW w:w="360" w:type="dxa"/>
            <w:shd w:val="clear" w:color="auto" w:fill="auto"/>
          </w:tcPr>
          <w:p w14:paraId="4F976F3D" w14:textId="77777777" w:rsidR="009F2F1D" w:rsidRPr="004870C7" w:rsidRDefault="009F2F1D" w:rsidP="0032777B">
            <w:pPr>
              <w:rPr>
                <w:rFonts w:asciiTheme="minorHAnsi" w:hAnsiTheme="minorHAnsi" w:cstheme="minorHAnsi"/>
                <w:szCs w:val="20"/>
              </w:rPr>
            </w:pPr>
          </w:p>
        </w:tc>
        <w:tc>
          <w:tcPr>
            <w:tcW w:w="4320" w:type="dxa"/>
            <w:shd w:val="clear" w:color="auto" w:fill="auto"/>
          </w:tcPr>
          <w:p w14:paraId="7F935019"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Media</w:t>
            </w:r>
          </w:p>
        </w:tc>
        <w:tc>
          <w:tcPr>
            <w:tcW w:w="360" w:type="dxa"/>
            <w:shd w:val="clear" w:color="auto" w:fill="auto"/>
          </w:tcPr>
          <w:p w14:paraId="5174C039" w14:textId="77777777" w:rsidR="009F2F1D" w:rsidRPr="004870C7" w:rsidRDefault="009F2F1D" w:rsidP="0032777B">
            <w:pPr>
              <w:rPr>
                <w:rFonts w:asciiTheme="minorHAnsi" w:hAnsiTheme="minorHAnsi" w:cstheme="minorHAnsi"/>
                <w:szCs w:val="20"/>
              </w:rPr>
            </w:pPr>
          </w:p>
        </w:tc>
        <w:tc>
          <w:tcPr>
            <w:tcW w:w="4518" w:type="dxa"/>
            <w:shd w:val="clear" w:color="auto" w:fill="auto"/>
          </w:tcPr>
          <w:p w14:paraId="06FF2F57"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Others (specify)</w:t>
            </w:r>
          </w:p>
        </w:tc>
      </w:tr>
    </w:tbl>
    <w:p w14:paraId="3A332B0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were the main objectives for the project identified as a result of this preparatory phase?</w:t>
      </w:r>
    </w:p>
    <w:p w14:paraId="58076F8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04E9E22"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3153D2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0D7702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3F6A5D2"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lastRenderedPageBreak/>
        <w:t>____________________________________________________________________________________</w:t>
      </w:r>
    </w:p>
    <w:p w14:paraId="7844235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were the major challenges faced during this phase?</w:t>
      </w:r>
    </w:p>
    <w:p w14:paraId="690D517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EFC3D4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DC83D0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5D982F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48226B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013B39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EDD666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Looking back, what issues that were identified and/or overlooked during this preparatory phase had an impact on the successive implementation phase?</w:t>
      </w:r>
    </w:p>
    <w:p w14:paraId="1EAF0A6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C2F3B6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B07CA4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4E794B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3409CE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0D0FA5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C2128D6" w14:textId="77777777" w:rsidR="009F2F1D" w:rsidRPr="004870C7" w:rsidRDefault="009F2F1D" w:rsidP="009F2F1D"/>
    <w:p w14:paraId="5F2860EC" w14:textId="77777777" w:rsidR="009F2F1D" w:rsidRPr="004870C7" w:rsidRDefault="009F2F1D" w:rsidP="009F2F1D"/>
    <w:p w14:paraId="2B1B2D01" w14:textId="77777777" w:rsidR="009F2F1D" w:rsidRPr="004870C7" w:rsidRDefault="009F2F1D" w:rsidP="009F2F1D">
      <w:pPr>
        <w:rPr>
          <w:color w:val="4472C4" w:themeColor="accent1"/>
        </w:rPr>
      </w:pPr>
      <w:r w:rsidRPr="004870C7">
        <w:rPr>
          <w:b/>
          <w:bCs/>
          <w:color w:val="4472C4" w:themeColor="accent1"/>
        </w:rPr>
        <w:t>C.   Project implementation phase</w:t>
      </w:r>
    </w:p>
    <w:p w14:paraId="4C9A4F16" w14:textId="77777777" w:rsidR="009F2F1D" w:rsidRPr="004870C7" w:rsidRDefault="009F2F1D" w:rsidP="009F2F1D">
      <w:pPr>
        <w:rPr>
          <w:rStyle w:val="SubtleEmphasis"/>
          <w:rFonts w:asciiTheme="minorHAnsi" w:hAnsiTheme="minorHAnsi" w:cstheme="minorHAnsi"/>
          <w:b/>
          <w:color w:val="44546A"/>
          <w:szCs w:val="20"/>
        </w:rPr>
      </w:pPr>
    </w:p>
    <w:p w14:paraId="56D8E305" w14:textId="77777777" w:rsidR="009F2F1D" w:rsidRPr="004870C7" w:rsidRDefault="009F2F1D" w:rsidP="009F2F1D">
      <w:pPr>
        <w:rPr>
          <w:rStyle w:val="SubtleEmphasis"/>
          <w:rFonts w:asciiTheme="minorHAnsi" w:hAnsiTheme="minorHAnsi" w:cstheme="minorHAnsi"/>
          <w:b/>
          <w:color w:val="44546A"/>
          <w:szCs w:val="20"/>
        </w:rPr>
      </w:pPr>
      <w:r w:rsidRPr="004870C7">
        <w:rPr>
          <w:rStyle w:val="SubtleEmphasis"/>
          <w:rFonts w:asciiTheme="minorHAnsi" w:hAnsiTheme="minorHAnsi" w:cstheme="minorHAnsi"/>
          <w:color w:val="44546A"/>
          <w:szCs w:val="20"/>
        </w:rPr>
        <w:t>Technical components</w:t>
      </w:r>
    </w:p>
    <w:p w14:paraId="598A2376" w14:textId="77777777" w:rsidR="009F2F1D" w:rsidRPr="004870C7" w:rsidRDefault="009F2F1D" w:rsidP="009F2F1D">
      <w:pPr>
        <w:pStyle w:val="ListParagraph"/>
        <w:numPr>
          <w:ilvl w:val="0"/>
          <w:numId w:val="43"/>
        </w:numPr>
        <w:spacing w:after="200" w:line="276" w:lineRule="auto"/>
        <w:contextualSpacing/>
        <w:jc w:val="both"/>
        <w:rPr>
          <w:rStyle w:val="Strong"/>
          <w:rFonts w:asciiTheme="minorHAnsi" w:hAnsiTheme="minorHAnsi" w:cstheme="minorHAnsi"/>
          <w:sz w:val="20"/>
          <w:szCs w:val="20"/>
        </w:rPr>
      </w:pPr>
      <w:r w:rsidRPr="004870C7">
        <w:rPr>
          <w:rStyle w:val="Strong"/>
          <w:rFonts w:asciiTheme="minorHAnsi" w:hAnsiTheme="minorHAnsi" w:cstheme="minorHAnsi"/>
          <w:sz w:val="20"/>
          <w:szCs w:val="20"/>
        </w:rPr>
        <w:t>GHG inventory</w:t>
      </w:r>
    </w:p>
    <w:p w14:paraId="237F4E3F" w14:textId="77777777" w:rsidR="009F2F1D" w:rsidRPr="004870C7" w:rsidRDefault="009F2F1D" w:rsidP="009F2F1D">
      <w:pPr>
        <w:rPr>
          <w:rStyle w:val="Strong"/>
          <w:rFonts w:asciiTheme="minorHAnsi" w:hAnsiTheme="minorHAnsi" w:cstheme="minorHAnsi"/>
          <w:szCs w:val="20"/>
        </w:rPr>
      </w:pPr>
      <w:r w:rsidRPr="004870C7">
        <w:rPr>
          <w:rStyle w:val="Strong"/>
          <w:rFonts w:asciiTheme="minorHAnsi" w:hAnsiTheme="minorHAnsi" w:cstheme="minorHAnsi"/>
          <w:szCs w:val="20"/>
        </w:rPr>
        <w:t>Base year of the GHG inventory:</w:t>
      </w:r>
    </w:p>
    <w:p w14:paraId="65E97B56" w14:textId="77777777" w:rsidR="009F2F1D" w:rsidRPr="004870C7" w:rsidRDefault="009F2F1D" w:rsidP="009F2F1D">
      <w:pPr>
        <w:rPr>
          <w:rStyle w:val="Strong"/>
          <w:rFonts w:asciiTheme="minorHAnsi" w:hAnsiTheme="minorHAnsi" w:cstheme="minorHAnsi"/>
          <w:szCs w:val="20"/>
        </w:rPr>
      </w:pPr>
      <w:r w:rsidRPr="004870C7">
        <w:rPr>
          <w:rStyle w:val="Strong"/>
          <w:rFonts w:asciiTheme="minorHAnsi" w:hAnsiTheme="minorHAnsi" w:cstheme="minorHAnsi"/>
          <w:szCs w:val="20"/>
        </w:rPr>
        <w:t>Base years used in previous GHG inventories: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9F2F1D" w:rsidRPr="004870C7" w14:paraId="1CDC5A0E" w14:textId="77777777" w:rsidTr="0032777B">
        <w:tc>
          <w:tcPr>
            <w:tcW w:w="2178" w:type="dxa"/>
            <w:shd w:val="clear" w:color="auto" w:fill="auto"/>
          </w:tcPr>
          <w:p w14:paraId="492D71C7"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 xml:space="preserve">Expected outcome </w:t>
            </w:r>
          </w:p>
        </w:tc>
        <w:tc>
          <w:tcPr>
            <w:tcW w:w="7398" w:type="dxa"/>
            <w:shd w:val="clear" w:color="auto" w:fill="auto"/>
          </w:tcPr>
          <w:p w14:paraId="6F72A978" w14:textId="77777777" w:rsidR="009F2F1D" w:rsidRPr="004870C7" w:rsidRDefault="009F2F1D" w:rsidP="0032777B">
            <w:pPr>
              <w:rPr>
                <w:rFonts w:asciiTheme="minorHAnsi" w:hAnsiTheme="minorHAnsi" w:cstheme="minorHAnsi"/>
                <w:szCs w:val="20"/>
              </w:rPr>
            </w:pPr>
          </w:p>
        </w:tc>
      </w:tr>
      <w:tr w:rsidR="009F2F1D" w:rsidRPr="004870C7" w14:paraId="2FB0B73A" w14:textId="77777777" w:rsidTr="0032777B">
        <w:tc>
          <w:tcPr>
            <w:tcW w:w="2178" w:type="dxa"/>
            <w:shd w:val="clear" w:color="auto" w:fill="auto"/>
          </w:tcPr>
          <w:p w14:paraId="4C778F7F"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1</w:t>
            </w:r>
          </w:p>
        </w:tc>
        <w:tc>
          <w:tcPr>
            <w:tcW w:w="7398" w:type="dxa"/>
            <w:shd w:val="clear" w:color="auto" w:fill="auto"/>
          </w:tcPr>
          <w:p w14:paraId="21C8CEC2" w14:textId="77777777" w:rsidR="009F2F1D" w:rsidRPr="004870C7" w:rsidRDefault="009F2F1D" w:rsidP="0032777B">
            <w:pPr>
              <w:rPr>
                <w:rFonts w:asciiTheme="minorHAnsi" w:hAnsiTheme="minorHAnsi" w:cstheme="minorHAnsi"/>
                <w:szCs w:val="20"/>
              </w:rPr>
            </w:pPr>
          </w:p>
        </w:tc>
      </w:tr>
      <w:tr w:rsidR="009F2F1D" w:rsidRPr="004870C7" w14:paraId="6914F12C" w14:textId="77777777" w:rsidTr="0032777B">
        <w:tc>
          <w:tcPr>
            <w:tcW w:w="2178" w:type="dxa"/>
            <w:shd w:val="clear" w:color="auto" w:fill="auto"/>
          </w:tcPr>
          <w:p w14:paraId="2972023D"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2</w:t>
            </w:r>
          </w:p>
        </w:tc>
        <w:tc>
          <w:tcPr>
            <w:tcW w:w="7398" w:type="dxa"/>
            <w:shd w:val="clear" w:color="auto" w:fill="auto"/>
          </w:tcPr>
          <w:p w14:paraId="15CCB3A8" w14:textId="77777777" w:rsidR="009F2F1D" w:rsidRPr="004870C7" w:rsidRDefault="009F2F1D" w:rsidP="0032777B">
            <w:pPr>
              <w:rPr>
                <w:rFonts w:asciiTheme="minorHAnsi" w:hAnsiTheme="minorHAnsi" w:cstheme="minorHAnsi"/>
                <w:szCs w:val="20"/>
              </w:rPr>
            </w:pPr>
          </w:p>
        </w:tc>
      </w:tr>
      <w:tr w:rsidR="009F2F1D" w:rsidRPr="004870C7" w14:paraId="4A0DBB4C" w14:textId="77777777" w:rsidTr="0032777B">
        <w:tc>
          <w:tcPr>
            <w:tcW w:w="2178" w:type="dxa"/>
            <w:shd w:val="clear" w:color="auto" w:fill="auto"/>
          </w:tcPr>
          <w:p w14:paraId="6375073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3</w:t>
            </w:r>
          </w:p>
        </w:tc>
        <w:tc>
          <w:tcPr>
            <w:tcW w:w="7398" w:type="dxa"/>
            <w:shd w:val="clear" w:color="auto" w:fill="auto"/>
          </w:tcPr>
          <w:p w14:paraId="1BA2A7D8" w14:textId="77777777" w:rsidR="009F2F1D" w:rsidRPr="004870C7" w:rsidRDefault="009F2F1D" w:rsidP="0032777B">
            <w:pPr>
              <w:rPr>
                <w:rFonts w:asciiTheme="minorHAnsi" w:hAnsiTheme="minorHAnsi" w:cstheme="minorHAnsi"/>
                <w:szCs w:val="20"/>
              </w:rPr>
            </w:pPr>
          </w:p>
        </w:tc>
      </w:tr>
      <w:tr w:rsidR="009F2F1D" w:rsidRPr="004870C7" w14:paraId="4EF617DE" w14:textId="77777777" w:rsidTr="0032777B">
        <w:tc>
          <w:tcPr>
            <w:tcW w:w="2178" w:type="dxa"/>
            <w:shd w:val="clear" w:color="auto" w:fill="auto"/>
          </w:tcPr>
          <w:p w14:paraId="0BD7246F" w14:textId="77777777" w:rsidR="009F2F1D" w:rsidRPr="004870C7" w:rsidRDefault="009F2F1D" w:rsidP="0032777B">
            <w:pPr>
              <w:jc w:val="center"/>
              <w:rPr>
                <w:rFonts w:asciiTheme="minorHAnsi" w:hAnsiTheme="minorHAnsi" w:cstheme="minorHAnsi"/>
                <w:szCs w:val="20"/>
              </w:rPr>
            </w:pPr>
          </w:p>
        </w:tc>
        <w:tc>
          <w:tcPr>
            <w:tcW w:w="7398" w:type="dxa"/>
            <w:shd w:val="clear" w:color="auto" w:fill="auto"/>
          </w:tcPr>
          <w:p w14:paraId="579D7749" w14:textId="77777777" w:rsidR="009F2F1D" w:rsidRPr="004870C7" w:rsidRDefault="009F2F1D" w:rsidP="0032777B">
            <w:pPr>
              <w:rPr>
                <w:rFonts w:asciiTheme="minorHAnsi" w:hAnsiTheme="minorHAnsi" w:cstheme="minorHAnsi"/>
                <w:szCs w:val="20"/>
              </w:rPr>
            </w:pPr>
          </w:p>
        </w:tc>
      </w:tr>
    </w:tbl>
    <w:p w14:paraId="51FE6C26" w14:textId="77777777" w:rsidR="009F2F1D" w:rsidRPr="004870C7" w:rsidRDefault="009F2F1D" w:rsidP="009F2F1D">
      <w:pPr>
        <w:rPr>
          <w:rFonts w:asciiTheme="minorHAnsi" w:hAnsiTheme="minorHAnsi" w:cstheme="minorHAnsi"/>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9F2F1D" w:rsidRPr="004870C7" w14:paraId="72067EF2" w14:textId="77777777" w:rsidTr="0032777B">
        <w:tc>
          <w:tcPr>
            <w:tcW w:w="2178" w:type="dxa"/>
            <w:shd w:val="clear" w:color="auto" w:fill="auto"/>
          </w:tcPr>
          <w:p w14:paraId="2887D91B"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 xml:space="preserve">Final outcome </w:t>
            </w:r>
          </w:p>
        </w:tc>
        <w:tc>
          <w:tcPr>
            <w:tcW w:w="7398" w:type="dxa"/>
            <w:shd w:val="clear" w:color="auto" w:fill="auto"/>
          </w:tcPr>
          <w:p w14:paraId="7EA0987A" w14:textId="77777777" w:rsidR="009F2F1D" w:rsidRPr="004870C7" w:rsidRDefault="009F2F1D" w:rsidP="0032777B">
            <w:pPr>
              <w:rPr>
                <w:rFonts w:asciiTheme="minorHAnsi" w:hAnsiTheme="minorHAnsi" w:cstheme="minorHAnsi"/>
                <w:szCs w:val="20"/>
              </w:rPr>
            </w:pPr>
          </w:p>
        </w:tc>
      </w:tr>
      <w:tr w:rsidR="009F2F1D" w:rsidRPr="004870C7" w14:paraId="72758DAF" w14:textId="77777777" w:rsidTr="0032777B">
        <w:tc>
          <w:tcPr>
            <w:tcW w:w="2178" w:type="dxa"/>
            <w:shd w:val="clear" w:color="auto" w:fill="auto"/>
          </w:tcPr>
          <w:p w14:paraId="7E41093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1</w:t>
            </w:r>
          </w:p>
        </w:tc>
        <w:tc>
          <w:tcPr>
            <w:tcW w:w="7398" w:type="dxa"/>
            <w:shd w:val="clear" w:color="auto" w:fill="auto"/>
          </w:tcPr>
          <w:p w14:paraId="200B7433" w14:textId="77777777" w:rsidR="009F2F1D" w:rsidRPr="004870C7" w:rsidRDefault="009F2F1D" w:rsidP="0032777B">
            <w:pPr>
              <w:rPr>
                <w:rFonts w:asciiTheme="minorHAnsi" w:hAnsiTheme="minorHAnsi" w:cstheme="minorHAnsi"/>
                <w:szCs w:val="20"/>
              </w:rPr>
            </w:pPr>
          </w:p>
        </w:tc>
      </w:tr>
      <w:tr w:rsidR="009F2F1D" w:rsidRPr="004870C7" w14:paraId="268C1F37" w14:textId="77777777" w:rsidTr="0032777B">
        <w:tc>
          <w:tcPr>
            <w:tcW w:w="2178" w:type="dxa"/>
            <w:shd w:val="clear" w:color="auto" w:fill="auto"/>
          </w:tcPr>
          <w:p w14:paraId="22C96584"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2</w:t>
            </w:r>
          </w:p>
        </w:tc>
        <w:tc>
          <w:tcPr>
            <w:tcW w:w="7398" w:type="dxa"/>
            <w:shd w:val="clear" w:color="auto" w:fill="auto"/>
          </w:tcPr>
          <w:p w14:paraId="23484502" w14:textId="77777777" w:rsidR="009F2F1D" w:rsidRPr="004870C7" w:rsidRDefault="009F2F1D" w:rsidP="0032777B">
            <w:pPr>
              <w:rPr>
                <w:rFonts w:asciiTheme="minorHAnsi" w:hAnsiTheme="minorHAnsi" w:cstheme="minorHAnsi"/>
                <w:szCs w:val="20"/>
              </w:rPr>
            </w:pPr>
          </w:p>
        </w:tc>
      </w:tr>
      <w:tr w:rsidR="009F2F1D" w:rsidRPr="004870C7" w14:paraId="0AF4C789" w14:textId="77777777" w:rsidTr="0032777B">
        <w:tc>
          <w:tcPr>
            <w:tcW w:w="2178" w:type="dxa"/>
            <w:shd w:val="clear" w:color="auto" w:fill="auto"/>
          </w:tcPr>
          <w:p w14:paraId="68965160"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3</w:t>
            </w:r>
          </w:p>
        </w:tc>
        <w:tc>
          <w:tcPr>
            <w:tcW w:w="7398" w:type="dxa"/>
            <w:shd w:val="clear" w:color="auto" w:fill="auto"/>
          </w:tcPr>
          <w:p w14:paraId="69BCCC41" w14:textId="77777777" w:rsidR="009F2F1D" w:rsidRPr="004870C7" w:rsidRDefault="009F2F1D" w:rsidP="0032777B">
            <w:pPr>
              <w:rPr>
                <w:rFonts w:asciiTheme="minorHAnsi" w:hAnsiTheme="minorHAnsi" w:cstheme="minorHAnsi"/>
                <w:szCs w:val="20"/>
              </w:rPr>
            </w:pPr>
          </w:p>
        </w:tc>
      </w:tr>
      <w:tr w:rsidR="009F2F1D" w:rsidRPr="004870C7" w14:paraId="05A75349" w14:textId="77777777" w:rsidTr="0032777B">
        <w:tc>
          <w:tcPr>
            <w:tcW w:w="2178" w:type="dxa"/>
            <w:shd w:val="clear" w:color="auto" w:fill="auto"/>
          </w:tcPr>
          <w:p w14:paraId="6B97982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31B4F1A7" w14:textId="77777777" w:rsidR="009F2F1D" w:rsidRPr="004870C7" w:rsidRDefault="009F2F1D" w:rsidP="0032777B">
            <w:pPr>
              <w:rPr>
                <w:rFonts w:asciiTheme="minorHAnsi" w:hAnsiTheme="minorHAnsi" w:cstheme="minorHAnsi"/>
                <w:szCs w:val="20"/>
              </w:rPr>
            </w:pPr>
          </w:p>
        </w:tc>
      </w:tr>
    </w:tbl>
    <w:p w14:paraId="7F32D329"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Please, shortly discuss the expected outcomes and outputs of the GHG inventory component,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14:paraId="5BDBBC3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7D0484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C70708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lastRenderedPageBreak/>
        <w:t>____________________________________________________________________________________</w:t>
      </w:r>
    </w:p>
    <w:p w14:paraId="709ABEF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B9DF41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5A9B35A" w14:textId="77777777" w:rsidR="009F2F1D" w:rsidRPr="004870C7" w:rsidRDefault="009F2F1D" w:rsidP="009F2F1D">
      <w:pPr>
        <w:pStyle w:val="CommentText"/>
        <w:rPr>
          <w:rFonts w:asciiTheme="minorHAnsi" w:hAnsiTheme="minorHAnsi" w:cstheme="minorHAnsi"/>
        </w:rPr>
      </w:pPr>
      <w:r w:rsidRPr="004870C7">
        <w:rPr>
          <w:rFonts w:asciiTheme="minorHAnsi" w:hAnsiTheme="minorHAnsi" w:cstheme="minorHAnsi"/>
        </w:rPr>
        <w:t xml:space="preserve">Can you describe the process(es) implemented to generate and validate outcomes and outputs? </w:t>
      </w:r>
    </w:p>
    <w:p w14:paraId="0A5268E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6900ED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F96E1B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A5D1FF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1A0FAD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7C3B9FC"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What pieces of advice do you have for future project teams?</w:t>
      </w:r>
    </w:p>
    <w:p w14:paraId="3AC2D51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F756CF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6E2B7AB" w14:textId="77777777" w:rsidR="009F2F1D" w:rsidRPr="004870C7" w:rsidRDefault="009F2F1D" w:rsidP="009F2F1D">
      <w:pPr>
        <w:pStyle w:val="ListParagraph"/>
        <w:numPr>
          <w:ilvl w:val="0"/>
          <w:numId w:val="43"/>
        </w:numPr>
        <w:spacing w:after="200" w:line="276" w:lineRule="auto"/>
        <w:contextualSpacing/>
        <w:jc w:val="both"/>
        <w:rPr>
          <w:rStyle w:val="Strong"/>
          <w:rFonts w:asciiTheme="minorHAnsi" w:hAnsiTheme="minorHAnsi" w:cstheme="minorHAnsi"/>
          <w:sz w:val="20"/>
          <w:szCs w:val="20"/>
        </w:rPr>
      </w:pPr>
      <w:r w:rsidRPr="004870C7">
        <w:rPr>
          <w:rStyle w:val="Strong"/>
          <w:rFonts w:asciiTheme="minorHAnsi" w:hAnsiTheme="minorHAnsi" w:cstheme="minorHAnsi"/>
          <w:sz w:val="20"/>
          <w:szCs w:val="20"/>
        </w:rPr>
        <w:t>Mitigation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9F2F1D" w:rsidRPr="004870C7" w14:paraId="26E4D74A" w14:textId="77777777" w:rsidTr="0032777B">
        <w:tc>
          <w:tcPr>
            <w:tcW w:w="2178" w:type="dxa"/>
            <w:shd w:val="clear" w:color="auto" w:fill="auto"/>
          </w:tcPr>
          <w:p w14:paraId="32ACF6D6"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 xml:space="preserve">Expected outcome(s) </w:t>
            </w:r>
          </w:p>
        </w:tc>
        <w:tc>
          <w:tcPr>
            <w:tcW w:w="7398" w:type="dxa"/>
            <w:shd w:val="clear" w:color="auto" w:fill="auto"/>
          </w:tcPr>
          <w:p w14:paraId="30862FCF" w14:textId="77777777" w:rsidR="009F2F1D" w:rsidRPr="004870C7" w:rsidRDefault="009F2F1D" w:rsidP="0032777B">
            <w:pPr>
              <w:rPr>
                <w:rFonts w:asciiTheme="minorHAnsi" w:hAnsiTheme="minorHAnsi" w:cstheme="minorHAnsi"/>
                <w:szCs w:val="20"/>
              </w:rPr>
            </w:pPr>
          </w:p>
        </w:tc>
      </w:tr>
      <w:tr w:rsidR="009F2F1D" w:rsidRPr="004870C7" w14:paraId="528FED68" w14:textId="77777777" w:rsidTr="0032777B">
        <w:tc>
          <w:tcPr>
            <w:tcW w:w="2178" w:type="dxa"/>
            <w:shd w:val="clear" w:color="auto" w:fill="auto"/>
          </w:tcPr>
          <w:p w14:paraId="3424097A"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1</w:t>
            </w:r>
          </w:p>
        </w:tc>
        <w:tc>
          <w:tcPr>
            <w:tcW w:w="7398" w:type="dxa"/>
            <w:shd w:val="clear" w:color="auto" w:fill="auto"/>
          </w:tcPr>
          <w:p w14:paraId="658C4DC2" w14:textId="77777777" w:rsidR="009F2F1D" w:rsidRPr="004870C7" w:rsidRDefault="009F2F1D" w:rsidP="0032777B">
            <w:pPr>
              <w:rPr>
                <w:rFonts w:asciiTheme="minorHAnsi" w:hAnsiTheme="minorHAnsi" w:cstheme="minorHAnsi"/>
                <w:szCs w:val="20"/>
              </w:rPr>
            </w:pPr>
          </w:p>
        </w:tc>
      </w:tr>
      <w:tr w:rsidR="009F2F1D" w:rsidRPr="004870C7" w14:paraId="1018D429" w14:textId="77777777" w:rsidTr="0032777B">
        <w:tc>
          <w:tcPr>
            <w:tcW w:w="2178" w:type="dxa"/>
            <w:shd w:val="clear" w:color="auto" w:fill="auto"/>
          </w:tcPr>
          <w:p w14:paraId="76939821"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2</w:t>
            </w:r>
          </w:p>
        </w:tc>
        <w:tc>
          <w:tcPr>
            <w:tcW w:w="7398" w:type="dxa"/>
            <w:shd w:val="clear" w:color="auto" w:fill="auto"/>
          </w:tcPr>
          <w:p w14:paraId="174012AA" w14:textId="77777777" w:rsidR="009F2F1D" w:rsidRPr="004870C7" w:rsidRDefault="009F2F1D" w:rsidP="0032777B">
            <w:pPr>
              <w:rPr>
                <w:rFonts w:asciiTheme="minorHAnsi" w:hAnsiTheme="minorHAnsi" w:cstheme="minorHAnsi"/>
                <w:szCs w:val="20"/>
              </w:rPr>
            </w:pPr>
          </w:p>
        </w:tc>
      </w:tr>
      <w:tr w:rsidR="009F2F1D" w:rsidRPr="004870C7" w14:paraId="45549E0A" w14:textId="77777777" w:rsidTr="0032777B">
        <w:tc>
          <w:tcPr>
            <w:tcW w:w="2178" w:type="dxa"/>
            <w:shd w:val="clear" w:color="auto" w:fill="auto"/>
          </w:tcPr>
          <w:p w14:paraId="238FD88D"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3</w:t>
            </w:r>
          </w:p>
        </w:tc>
        <w:tc>
          <w:tcPr>
            <w:tcW w:w="7398" w:type="dxa"/>
            <w:shd w:val="clear" w:color="auto" w:fill="auto"/>
          </w:tcPr>
          <w:p w14:paraId="607360C7" w14:textId="77777777" w:rsidR="009F2F1D" w:rsidRPr="004870C7" w:rsidRDefault="009F2F1D" w:rsidP="0032777B">
            <w:pPr>
              <w:rPr>
                <w:rFonts w:asciiTheme="minorHAnsi" w:hAnsiTheme="minorHAnsi" w:cstheme="minorHAnsi"/>
                <w:szCs w:val="20"/>
              </w:rPr>
            </w:pPr>
          </w:p>
        </w:tc>
      </w:tr>
      <w:tr w:rsidR="009F2F1D" w:rsidRPr="004870C7" w14:paraId="6A9368B9" w14:textId="77777777" w:rsidTr="0032777B">
        <w:tc>
          <w:tcPr>
            <w:tcW w:w="2178" w:type="dxa"/>
            <w:shd w:val="clear" w:color="auto" w:fill="auto"/>
          </w:tcPr>
          <w:p w14:paraId="5A3FC71D"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5BC68970" w14:textId="77777777" w:rsidR="009F2F1D" w:rsidRPr="004870C7" w:rsidRDefault="009F2F1D" w:rsidP="0032777B">
            <w:pPr>
              <w:rPr>
                <w:rFonts w:asciiTheme="minorHAnsi" w:hAnsiTheme="minorHAnsi" w:cstheme="minorHAnsi"/>
                <w:szCs w:val="20"/>
              </w:rPr>
            </w:pPr>
          </w:p>
        </w:tc>
      </w:tr>
    </w:tbl>
    <w:p w14:paraId="342575A6" w14:textId="77777777" w:rsidR="009F2F1D" w:rsidRPr="004870C7" w:rsidRDefault="009F2F1D" w:rsidP="009F2F1D">
      <w:pPr>
        <w:rPr>
          <w:rFonts w:asciiTheme="minorHAnsi" w:hAnsiTheme="minorHAnsi" w:cstheme="minorHAnsi"/>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9F2F1D" w:rsidRPr="004870C7" w14:paraId="37C09AD1" w14:textId="77777777" w:rsidTr="0032777B">
        <w:tc>
          <w:tcPr>
            <w:tcW w:w="2178" w:type="dxa"/>
            <w:shd w:val="clear" w:color="auto" w:fill="auto"/>
          </w:tcPr>
          <w:p w14:paraId="1C1F1F20"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Final outcome(s)</w:t>
            </w:r>
          </w:p>
        </w:tc>
        <w:tc>
          <w:tcPr>
            <w:tcW w:w="7398" w:type="dxa"/>
            <w:shd w:val="clear" w:color="auto" w:fill="auto"/>
          </w:tcPr>
          <w:p w14:paraId="70F9BC7A" w14:textId="77777777" w:rsidR="009F2F1D" w:rsidRPr="004870C7" w:rsidRDefault="009F2F1D" w:rsidP="0032777B">
            <w:pPr>
              <w:rPr>
                <w:rFonts w:asciiTheme="minorHAnsi" w:hAnsiTheme="minorHAnsi" w:cstheme="minorHAnsi"/>
                <w:szCs w:val="20"/>
              </w:rPr>
            </w:pPr>
          </w:p>
        </w:tc>
      </w:tr>
      <w:tr w:rsidR="009F2F1D" w:rsidRPr="004870C7" w14:paraId="16BB8D4B" w14:textId="77777777" w:rsidTr="0032777B">
        <w:tc>
          <w:tcPr>
            <w:tcW w:w="2178" w:type="dxa"/>
            <w:shd w:val="clear" w:color="auto" w:fill="auto"/>
          </w:tcPr>
          <w:p w14:paraId="73001F8F"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1</w:t>
            </w:r>
          </w:p>
        </w:tc>
        <w:tc>
          <w:tcPr>
            <w:tcW w:w="7398" w:type="dxa"/>
            <w:shd w:val="clear" w:color="auto" w:fill="auto"/>
          </w:tcPr>
          <w:p w14:paraId="66C7B6C5" w14:textId="77777777" w:rsidR="009F2F1D" w:rsidRPr="004870C7" w:rsidRDefault="009F2F1D" w:rsidP="0032777B">
            <w:pPr>
              <w:rPr>
                <w:rFonts w:asciiTheme="minorHAnsi" w:hAnsiTheme="minorHAnsi" w:cstheme="minorHAnsi"/>
                <w:szCs w:val="20"/>
              </w:rPr>
            </w:pPr>
          </w:p>
        </w:tc>
      </w:tr>
      <w:tr w:rsidR="009F2F1D" w:rsidRPr="004870C7" w14:paraId="39BA599E" w14:textId="77777777" w:rsidTr="0032777B">
        <w:tc>
          <w:tcPr>
            <w:tcW w:w="2178" w:type="dxa"/>
            <w:shd w:val="clear" w:color="auto" w:fill="auto"/>
          </w:tcPr>
          <w:p w14:paraId="34283509"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2</w:t>
            </w:r>
          </w:p>
        </w:tc>
        <w:tc>
          <w:tcPr>
            <w:tcW w:w="7398" w:type="dxa"/>
            <w:shd w:val="clear" w:color="auto" w:fill="auto"/>
          </w:tcPr>
          <w:p w14:paraId="05877C5B" w14:textId="77777777" w:rsidR="009F2F1D" w:rsidRPr="004870C7" w:rsidRDefault="009F2F1D" w:rsidP="0032777B">
            <w:pPr>
              <w:rPr>
                <w:rFonts w:asciiTheme="minorHAnsi" w:hAnsiTheme="minorHAnsi" w:cstheme="minorHAnsi"/>
                <w:szCs w:val="20"/>
              </w:rPr>
            </w:pPr>
          </w:p>
        </w:tc>
      </w:tr>
      <w:tr w:rsidR="009F2F1D" w:rsidRPr="004870C7" w14:paraId="2E3DE826" w14:textId="77777777" w:rsidTr="0032777B">
        <w:tc>
          <w:tcPr>
            <w:tcW w:w="2178" w:type="dxa"/>
            <w:shd w:val="clear" w:color="auto" w:fill="auto"/>
          </w:tcPr>
          <w:p w14:paraId="3D0CE2D5"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3</w:t>
            </w:r>
          </w:p>
        </w:tc>
        <w:tc>
          <w:tcPr>
            <w:tcW w:w="7398" w:type="dxa"/>
            <w:shd w:val="clear" w:color="auto" w:fill="auto"/>
          </w:tcPr>
          <w:p w14:paraId="3266D674" w14:textId="77777777" w:rsidR="009F2F1D" w:rsidRPr="004870C7" w:rsidRDefault="009F2F1D" w:rsidP="0032777B">
            <w:pPr>
              <w:rPr>
                <w:rFonts w:asciiTheme="minorHAnsi" w:hAnsiTheme="minorHAnsi" w:cstheme="minorHAnsi"/>
                <w:szCs w:val="20"/>
              </w:rPr>
            </w:pPr>
          </w:p>
        </w:tc>
      </w:tr>
      <w:tr w:rsidR="009F2F1D" w:rsidRPr="004870C7" w14:paraId="659DA53E" w14:textId="77777777" w:rsidTr="0032777B">
        <w:tc>
          <w:tcPr>
            <w:tcW w:w="2178" w:type="dxa"/>
            <w:shd w:val="clear" w:color="auto" w:fill="auto"/>
          </w:tcPr>
          <w:p w14:paraId="17FFC2A3"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49DAAFF8" w14:textId="77777777" w:rsidR="009F2F1D" w:rsidRPr="004870C7" w:rsidRDefault="009F2F1D" w:rsidP="0032777B">
            <w:pPr>
              <w:rPr>
                <w:rFonts w:asciiTheme="minorHAnsi" w:hAnsiTheme="minorHAnsi" w:cstheme="minorHAnsi"/>
                <w:szCs w:val="20"/>
              </w:rPr>
            </w:pPr>
          </w:p>
        </w:tc>
      </w:tr>
    </w:tbl>
    <w:p w14:paraId="6BD927CB"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Please, shortly discuss the expected outcomes and outputs of the vulnerability and adaptation measures and mitigation measures components,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14:paraId="04D882A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118BD0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D17604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4D61F6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57F5E9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25C9083" w14:textId="77777777" w:rsidR="009F2F1D" w:rsidRPr="004870C7" w:rsidRDefault="009F2F1D" w:rsidP="009F2F1D">
      <w:pPr>
        <w:pStyle w:val="CommentText"/>
        <w:rPr>
          <w:rFonts w:asciiTheme="minorHAnsi" w:hAnsiTheme="minorHAnsi" w:cstheme="minorHAnsi"/>
        </w:rPr>
      </w:pPr>
      <w:r w:rsidRPr="004870C7">
        <w:rPr>
          <w:rFonts w:asciiTheme="minorHAnsi" w:hAnsiTheme="minorHAnsi" w:cstheme="minorHAnsi"/>
        </w:rPr>
        <w:t xml:space="preserve">Can you describe the process(es) implemented to generate and validate outcomes and outputs? </w:t>
      </w:r>
    </w:p>
    <w:p w14:paraId="0420BA4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696CA3F"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1D9C34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A25665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7D2FE0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4673844" w14:textId="77777777" w:rsidR="009F2F1D" w:rsidRPr="004870C7" w:rsidRDefault="009F2F1D" w:rsidP="009F2F1D">
      <w:pPr>
        <w:rPr>
          <w:rFonts w:asciiTheme="minorHAnsi" w:hAnsiTheme="minorHAnsi" w:cstheme="minorHAnsi"/>
          <w:bCs/>
          <w:szCs w:val="20"/>
        </w:rPr>
      </w:pPr>
    </w:p>
    <w:p w14:paraId="76E6629D" w14:textId="77777777" w:rsidR="009F2F1D" w:rsidRPr="004870C7" w:rsidRDefault="009F2F1D" w:rsidP="009F2F1D">
      <w:pPr>
        <w:rPr>
          <w:rFonts w:asciiTheme="minorHAnsi" w:hAnsiTheme="minorHAnsi" w:cstheme="minorHAnsi"/>
          <w:bCs/>
          <w:szCs w:val="20"/>
        </w:rPr>
      </w:pPr>
    </w:p>
    <w:p w14:paraId="7F622009"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lastRenderedPageBreak/>
        <w:t>What pieces of advice do you have for future project teams?</w:t>
      </w:r>
    </w:p>
    <w:p w14:paraId="7273F4F9" w14:textId="77777777" w:rsidR="009F2F1D" w:rsidRPr="004870C7" w:rsidRDefault="009F2F1D" w:rsidP="009F2F1D">
      <w:pPr>
        <w:rPr>
          <w:rStyle w:val="Strong"/>
          <w:rFonts w:asciiTheme="minorHAnsi" w:hAnsiTheme="minorHAnsi" w:cstheme="minorHAnsi"/>
          <w:b w:val="0"/>
          <w:szCs w:val="20"/>
        </w:rPr>
      </w:pPr>
      <w:r w:rsidRPr="004870C7">
        <w:rPr>
          <w:rFonts w:asciiTheme="minorHAnsi" w:hAnsiTheme="minorHAnsi" w:cstheme="minorHAnsi"/>
          <w:szCs w:val="20"/>
        </w:rPr>
        <w:t>________________________________________________________________________________________________________________________________________________________________________</w:t>
      </w:r>
    </w:p>
    <w:p w14:paraId="6589F076" w14:textId="77777777" w:rsidR="009F2F1D" w:rsidRPr="004870C7" w:rsidRDefault="009F2F1D" w:rsidP="009F2F1D">
      <w:pPr>
        <w:pStyle w:val="ListParagraph"/>
        <w:numPr>
          <w:ilvl w:val="0"/>
          <w:numId w:val="43"/>
        </w:numPr>
        <w:spacing w:after="200" w:line="276" w:lineRule="auto"/>
        <w:contextualSpacing/>
        <w:jc w:val="both"/>
        <w:rPr>
          <w:rStyle w:val="Strong"/>
          <w:rFonts w:asciiTheme="minorHAnsi" w:hAnsiTheme="minorHAnsi" w:cstheme="minorHAnsi"/>
          <w:sz w:val="20"/>
          <w:szCs w:val="20"/>
        </w:rPr>
      </w:pPr>
      <w:r w:rsidRPr="004870C7">
        <w:rPr>
          <w:rStyle w:val="Strong"/>
          <w:rFonts w:asciiTheme="minorHAnsi" w:hAnsiTheme="minorHAnsi" w:cstheme="minorHAnsi"/>
          <w:sz w:val="20"/>
          <w:szCs w:val="20"/>
        </w:rPr>
        <w:t>Vulnerability &amp; Adaptation for NC or MRV for BUR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9F2F1D" w:rsidRPr="004870C7" w14:paraId="61E2E996" w14:textId="77777777" w:rsidTr="0032777B">
        <w:tc>
          <w:tcPr>
            <w:tcW w:w="2178" w:type="dxa"/>
            <w:shd w:val="clear" w:color="auto" w:fill="auto"/>
          </w:tcPr>
          <w:p w14:paraId="77DAD061"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 xml:space="preserve">Expected outcome(s) </w:t>
            </w:r>
          </w:p>
        </w:tc>
        <w:tc>
          <w:tcPr>
            <w:tcW w:w="7398" w:type="dxa"/>
            <w:shd w:val="clear" w:color="auto" w:fill="auto"/>
          </w:tcPr>
          <w:p w14:paraId="20792090" w14:textId="77777777" w:rsidR="009F2F1D" w:rsidRPr="004870C7" w:rsidRDefault="009F2F1D" w:rsidP="0032777B">
            <w:pPr>
              <w:rPr>
                <w:rFonts w:asciiTheme="minorHAnsi" w:hAnsiTheme="minorHAnsi" w:cstheme="minorHAnsi"/>
                <w:szCs w:val="20"/>
              </w:rPr>
            </w:pPr>
          </w:p>
        </w:tc>
      </w:tr>
      <w:tr w:rsidR="009F2F1D" w:rsidRPr="004870C7" w14:paraId="57571769" w14:textId="77777777" w:rsidTr="0032777B">
        <w:tc>
          <w:tcPr>
            <w:tcW w:w="2178" w:type="dxa"/>
            <w:shd w:val="clear" w:color="auto" w:fill="auto"/>
          </w:tcPr>
          <w:p w14:paraId="5927FEF3"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1</w:t>
            </w:r>
          </w:p>
        </w:tc>
        <w:tc>
          <w:tcPr>
            <w:tcW w:w="7398" w:type="dxa"/>
            <w:shd w:val="clear" w:color="auto" w:fill="auto"/>
          </w:tcPr>
          <w:p w14:paraId="6E6C99D9" w14:textId="77777777" w:rsidR="009F2F1D" w:rsidRPr="004870C7" w:rsidRDefault="009F2F1D" w:rsidP="0032777B">
            <w:pPr>
              <w:rPr>
                <w:rFonts w:asciiTheme="minorHAnsi" w:hAnsiTheme="minorHAnsi" w:cstheme="minorHAnsi"/>
                <w:szCs w:val="20"/>
              </w:rPr>
            </w:pPr>
          </w:p>
        </w:tc>
      </w:tr>
      <w:tr w:rsidR="009F2F1D" w:rsidRPr="004870C7" w14:paraId="0533CEAF" w14:textId="77777777" w:rsidTr="0032777B">
        <w:tc>
          <w:tcPr>
            <w:tcW w:w="2178" w:type="dxa"/>
            <w:shd w:val="clear" w:color="auto" w:fill="auto"/>
          </w:tcPr>
          <w:p w14:paraId="432A0178"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2</w:t>
            </w:r>
          </w:p>
        </w:tc>
        <w:tc>
          <w:tcPr>
            <w:tcW w:w="7398" w:type="dxa"/>
            <w:shd w:val="clear" w:color="auto" w:fill="auto"/>
          </w:tcPr>
          <w:p w14:paraId="3D8728C4" w14:textId="77777777" w:rsidR="009F2F1D" w:rsidRPr="004870C7" w:rsidRDefault="009F2F1D" w:rsidP="0032777B">
            <w:pPr>
              <w:rPr>
                <w:rFonts w:asciiTheme="minorHAnsi" w:hAnsiTheme="minorHAnsi" w:cstheme="minorHAnsi"/>
                <w:szCs w:val="20"/>
              </w:rPr>
            </w:pPr>
          </w:p>
        </w:tc>
      </w:tr>
      <w:tr w:rsidR="009F2F1D" w:rsidRPr="004870C7" w14:paraId="57529DB8" w14:textId="77777777" w:rsidTr="0032777B">
        <w:tc>
          <w:tcPr>
            <w:tcW w:w="2178" w:type="dxa"/>
            <w:shd w:val="clear" w:color="auto" w:fill="auto"/>
          </w:tcPr>
          <w:p w14:paraId="2F8CBD22"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3</w:t>
            </w:r>
          </w:p>
        </w:tc>
        <w:tc>
          <w:tcPr>
            <w:tcW w:w="7398" w:type="dxa"/>
            <w:shd w:val="clear" w:color="auto" w:fill="auto"/>
          </w:tcPr>
          <w:p w14:paraId="4540859C" w14:textId="77777777" w:rsidR="009F2F1D" w:rsidRPr="004870C7" w:rsidRDefault="009F2F1D" w:rsidP="0032777B">
            <w:pPr>
              <w:rPr>
                <w:rFonts w:asciiTheme="minorHAnsi" w:hAnsiTheme="minorHAnsi" w:cstheme="minorHAnsi"/>
                <w:szCs w:val="20"/>
              </w:rPr>
            </w:pPr>
          </w:p>
        </w:tc>
      </w:tr>
      <w:tr w:rsidR="009F2F1D" w:rsidRPr="004870C7" w14:paraId="4A316E6E" w14:textId="77777777" w:rsidTr="0032777B">
        <w:tc>
          <w:tcPr>
            <w:tcW w:w="2178" w:type="dxa"/>
            <w:shd w:val="clear" w:color="auto" w:fill="auto"/>
          </w:tcPr>
          <w:p w14:paraId="177972D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2937512A" w14:textId="77777777" w:rsidR="009F2F1D" w:rsidRPr="004870C7" w:rsidRDefault="009F2F1D" w:rsidP="0032777B">
            <w:pPr>
              <w:rPr>
                <w:rFonts w:asciiTheme="minorHAnsi" w:hAnsiTheme="minorHAnsi" w:cstheme="minorHAnsi"/>
                <w:szCs w:val="20"/>
              </w:rPr>
            </w:pPr>
          </w:p>
        </w:tc>
      </w:tr>
    </w:tbl>
    <w:p w14:paraId="65665850" w14:textId="77777777" w:rsidR="009F2F1D" w:rsidRPr="004870C7" w:rsidRDefault="009F2F1D" w:rsidP="009F2F1D">
      <w:pPr>
        <w:rPr>
          <w:rFonts w:asciiTheme="minorHAnsi" w:hAnsiTheme="minorHAnsi" w:cstheme="minorHAnsi"/>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9F2F1D" w:rsidRPr="004870C7" w14:paraId="79243076" w14:textId="77777777" w:rsidTr="0032777B">
        <w:tc>
          <w:tcPr>
            <w:tcW w:w="2178" w:type="dxa"/>
            <w:shd w:val="clear" w:color="auto" w:fill="auto"/>
          </w:tcPr>
          <w:p w14:paraId="2256D38D"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Final outcome(s)</w:t>
            </w:r>
          </w:p>
        </w:tc>
        <w:tc>
          <w:tcPr>
            <w:tcW w:w="7398" w:type="dxa"/>
            <w:shd w:val="clear" w:color="auto" w:fill="auto"/>
          </w:tcPr>
          <w:p w14:paraId="77FE7D92" w14:textId="77777777" w:rsidR="009F2F1D" w:rsidRPr="004870C7" w:rsidRDefault="009F2F1D" w:rsidP="0032777B">
            <w:pPr>
              <w:rPr>
                <w:rFonts w:asciiTheme="minorHAnsi" w:hAnsiTheme="minorHAnsi" w:cstheme="minorHAnsi"/>
                <w:szCs w:val="20"/>
              </w:rPr>
            </w:pPr>
          </w:p>
        </w:tc>
      </w:tr>
      <w:tr w:rsidR="009F2F1D" w:rsidRPr="004870C7" w14:paraId="26BAA2E6" w14:textId="77777777" w:rsidTr="0032777B">
        <w:tc>
          <w:tcPr>
            <w:tcW w:w="2178" w:type="dxa"/>
            <w:shd w:val="clear" w:color="auto" w:fill="auto"/>
          </w:tcPr>
          <w:p w14:paraId="7C642AC1"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1</w:t>
            </w:r>
          </w:p>
        </w:tc>
        <w:tc>
          <w:tcPr>
            <w:tcW w:w="7398" w:type="dxa"/>
            <w:shd w:val="clear" w:color="auto" w:fill="auto"/>
          </w:tcPr>
          <w:p w14:paraId="29C9331D" w14:textId="77777777" w:rsidR="009F2F1D" w:rsidRPr="004870C7" w:rsidRDefault="009F2F1D" w:rsidP="0032777B">
            <w:pPr>
              <w:rPr>
                <w:rFonts w:asciiTheme="minorHAnsi" w:hAnsiTheme="minorHAnsi" w:cstheme="minorHAnsi"/>
                <w:szCs w:val="20"/>
              </w:rPr>
            </w:pPr>
          </w:p>
        </w:tc>
      </w:tr>
      <w:tr w:rsidR="009F2F1D" w:rsidRPr="004870C7" w14:paraId="6557DDA5" w14:textId="77777777" w:rsidTr="0032777B">
        <w:tc>
          <w:tcPr>
            <w:tcW w:w="2178" w:type="dxa"/>
            <w:shd w:val="clear" w:color="auto" w:fill="auto"/>
          </w:tcPr>
          <w:p w14:paraId="61081058"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2</w:t>
            </w:r>
          </w:p>
        </w:tc>
        <w:tc>
          <w:tcPr>
            <w:tcW w:w="7398" w:type="dxa"/>
            <w:shd w:val="clear" w:color="auto" w:fill="auto"/>
          </w:tcPr>
          <w:p w14:paraId="0D67E20E" w14:textId="77777777" w:rsidR="009F2F1D" w:rsidRPr="004870C7" w:rsidRDefault="009F2F1D" w:rsidP="0032777B">
            <w:pPr>
              <w:rPr>
                <w:rFonts w:asciiTheme="minorHAnsi" w:hAnsiTheme="minorHAnsi" w:cstheme="minorHAnsi"/>
                <w:szCs w:val="20"/>
              </w:rPr>
            </w:pPr>
          </w:p>
        </w:tc>
      </w:tr>
      <w:tr w:rsidR="009F2F1D" w:rsidRPr="004870C7" w14:paraId="3D3BF46F" w14:textId="77777777" w:rsidTr="0032777B">
        <w:tc>
          <w:tcPr>
            <w:tcW w:w="2178" w:type="dxa"/>
            <w:shd w:val="clear" w:color="auto" w:fill="auto"/>
          </w:tcPr>
          <w:p w14:paraId="76DEE35F"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3</w:t>
            </w:r>
          </w:p>
        </w:tc>
        <w:tc>
          <w:tcPr>
            <w:tcW w:w="7398" w:type="dxa"/>
            <w:shd w:val="clear" w:color="auto" w:fill="auto"/>
          </w:tcPr>
          <w:p w14:paraId="5FC5AAF2" w14:textId="77777777" w:rsidR="009F2F1D" w:rsidRPr="004870C7" w:rsidRDefault="009F2F1D" w:rsidP="0032777B">
            <w:pPr>
              <w:rPr>
                <w:rFonts w:asciiTheme="minorHAnsi" w:hAnsiTheme="minorHAnsi" w:cstheme="minorHAnsi"/>
                <w:szCs w:val="20"/>
              </w:rPr>
            </w:pPr>
          </w:p>
        </w:tc>
      </w:tr>
      <w:tr w:rsidR="009F2F1D" w:rsidRPr="004870C7" w14:paraId="5580DA55" w14:textId="77777777" w:rsidTr="0032777B">
        <w:tc>
          <w:tcPr>
            <w:tcW w:w="2178" w:type="dxa"/>
            <w:shd w:val="clear" w:color="auto" w:fill="auto"/>
          </w:tcPr>
          <w:p w14:paraId="401D1D1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37F1E23C" w14:textId="77777777" w:rsidR="009F2F1D" w:rsidRPr="004870C7" w:rsidRDefault="009F2F1D" w:rsidP="0032777B">
            <w:pPr>
              <w:rPr>
                <w:rFonts w:asciiTheme="minorHAnsi" w:hAnsiTheme="minorHAnsi" w:cstheme="minorHAnsi"/>
                <w:szCs w:val="20"/>
              </w:rPr>
            </w:pPr>
          </w:p>
        </w:tc>
      </w:tr>
    </w:tbl>
    <w:p w14:paraId="4B44D41B"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Please, shortly discuss the expected outcomes and outputs of the vulnerability and adaptation measures and mitigation measures components, 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14:paraId="2A89F8D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A1CDCB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04C860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2BE150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138A12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48A39B1" w14:textId="77777777" w:rsidR="009F2F1D" w:rsidRPr="004870C7" w:rsidRDefault="009F2F1D" w:rsidP="009F2F1D">
      <w:pPr>
        <w:pStyle w:val="CommentText"/>
        <w:rPr>
          <w:rFonts w:asciiTheme="minorHAnsi" w:hAnsiTheme="minorHAnsi" w:cstheme="minorHAnsi"/>
        </w:rPr>
      </w:pPr>
      <w:r w:rsidRPr="004870C7">
        <w:rPr>
          <w:rFonts w:asciiTheme="minorHAnsi" w:hAnsiTheme="minorHAnsi" w:cstheme="minorHAnsi"/>
        </w:rPr>
        <w:t xml:space="preserve">Can you describe the process(es) implemented to generate and validate outcomes and outputs? </w:t>
      </w:r>
    </w:p>
    <w:p w14:paraId="25D418D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4C8B169"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24AFEC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21D1F3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244462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044C5C1"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What pieces of advice do you have for future project teams?</w:t>
      </w:r>
    </w:p>
    <w:p w14:paraId="6963375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E4E96E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7FF76FA" w14:textId="77777777" w:rsidR="009F2F1D" w:rsidRPr="004870C7" w:rsidRDefault="009F2F1D" w:rsidP="009F2F1D">
      <w:pPr>
        <w:rPr>
          <w:rFonts w:asciiTheme="minorHAnsi" w:hAnsiTheme="minorHAnsi" w:cstheme="minorHAnsi"/>
          <w:szCs w:val="20"/>
        </w:rPr>
      </w:pPr>
    </w:p>
    <w:p w14:paraId="2E843FF8" w14:textId="77777777" w:rsidR="009F2F1D" w:rsidRPr="004870C7" w:rsidRDefault="009F2F1D" w:rsidP="009F2F1D">
      <w:pPr>
        <w:pStyle w:val="ListParagraph"/>
        <w:numPr>
          <w:ilvl w:val="0"/>
          <w:numId w:val="43"/>
        </w:numPr>
        <w:spacing w:after="200" w:line="276" w:lineRule="auto"/>
        <w:contextualSpacing/>
        <w:jc w:val="both"/>
        <w:rPr>
          <w:rStyle w:val="Strong"/>
          <w:rFonts w:asciiTheme="minorHAnsi" w:hAnsiTheme="minorHAnsi" w:cstheme="minorHAnsi"/>
          <w:sz w:val="20"/>
          <w:szCs w:val="20"/>
        </w:rPr>
      </w:pPr>
      <w:r w:rsidRPr="004870C7">
        <w:rPr>
          <w:rStyle w:val="Strong"/>
          <w:rFonts w:asciiTheme="minorHAnsi" w:hAnsiTheme="minorHAnsi" w:cstheme="minorHAnsi"/>
          <w:sz w:val="20"/>
          <w:szCs w:val="20"/>
        </w:rPr>
        <w:t>Constraints and Gaps/Support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9F2F1D" w:rsidRPr="004870C7" w14:paraId="5E5D8BBD" w14:textId="77777777" w:rsidTr="0032777B">
        <w:tc>
          <w:tcPr>
            <w:tcW w:w="2178" w:type="dxa"/>
            <w:shd w:val="clear" w:color="auto" w:fill="auto"/>
          </w:tcPr>
          <w:p w14:paraId="2296DD32"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t xml:space="preserve">Expected outcome </w:t>
            </w:r>
          </w:p>
        </w:tc>
        <w:tc>
          <w:tcPr>
            <w:tcW w:w="7398" w:type="dxa"/>
            <w:shd w:val="clear" w:color="auto" w:fill="auto"/>
          </w:tcPr>
          <w:p w14:paraId="10B08150" w14:textId="77777777" w:rsidR="009F2F1D" w:rsidRPr="004870C7" w:rsidRDefault="009F2F1D" w:rsidP="0032777B">
            <w:pPr>
              <w:rPr>
                <w:rFonts w:asciiTheme="minorHAnsi" w:hAnsiTheme="minorHAnsi" w:cstheme="minorHAnsi"/>
                <w:szCs w:val="20"/>
              </w:rPr>
            </w:pPr>
          </w:p>
        </w:tc>
      </w:tr>
      <w:tr w:rsidR="009F2F1D" w:rsidRPr="004870C7" w14:paraId="162B4A6F" w14:textId="77777777" w:rsidTr="0032777B">
        <w:tc>
          <w:tcPr>
            <w:tcW w:w="2178" w:type="dxa"/>
            <w:shd w:val="clear" w:color="auto" w:fill="auto"/>
          </w:tcPr>
          <w:p w14:paraId="45C6BBE9"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1</w:t>
            </w:r>
          </w:p>
        </w:tc>
        <w:tc>
          <w:tcPr>
            <w:tcW w:w="7398" w:type="dxa"/>
            <w:shd w:val="clear" w:color="auto" w:fill="auto"/>
          </w:tcPr>
          <w:p w14:paraId="7423A2D9" w14:textId="77777777" w:rsidR="009F2F1D" w:rsidRPr="004870C7" w:rsidRDefault="009F2F1D" w:rsidP="0032777B">
            <w:pPr>
              <w:rPr>
                <w:rFonts w:asciiTheme="minorHAnsi" w:hAnsiTheme="minorHAnsi" w:cstheme="minorHAnsi"/>
                <w:szCs w:val="20"/>
              </w:rPr>
            </w:pPr>
          </w:p>
        </w:tc>
      </w:tr>
      <w:tr w:rsidR="009F2F1D" w:rsidRPr="004870C7" w14:paraId="5CB5F704" w14:textId="77777777" w:rsidTr="0032777B">
        <w:tc>
          <w:tcPr>
            <w:tcW w:w="2178" w:type="dxa"/>
            <w:shd w:val="clear" w:color="auto" w:fill="auto"/>
          </w:tcPr>
          <w:p w14:paraId="15D33182"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2</w:t>
            </w:r>
          </w:p>
        </w:tc>
        <w:tc>
          <w:tcPr>
            <w:tcW w:w="7398" w:type="dxa"/>
            <w:shd w:val="clear" w:color="auto" w:fill="auto"/>
          </w:tcPr>
          <w:p w14:paraId="621F1002" w14:textId="77777777" w:rsidR="009F2F1D" w:rsidRPr="004870C7" w:rsidRDefault="009F2F1D" w:rsidP="0032777B">
            <w:pPr>
              <w:rPr>
                <w:rFonts w:asciiTheme="minorHAnsi" w:hAnsiTheme="minorHAnsi" w:cstheme="minorHAnsi"/>
                <w:szCs w:val="20"/>
              </w:rPr>
            </w:pPr>
          </w:p>
        </w:tc>
      </w:tr>
      <w:tr w:rsidR="009F2F1D" w:rsidRPr="004870C7" w14:paraId="67A935A6" w14:textId="77777777" w:rsidTr="0032777B">
        <w:tc>
          <w:tcPr>
            <w:tcW w:w="2178" w:type="dxa"/>
            <w:shd w:val="clear" w:color="auto" w:fill="auto"/>
          </w:tcPr>
          <w:p w14:paraId="4BD22992"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Expected output 3</w:t>
            </w:r>
          </w:p>
        </w:tc>
        <w:tc>
          <w:tcPr>
            <w:tcW w:w="7398" w:type="dxa"/>
            <w:shd w:val="clear" w:color="auto" w:fill="auto"/>
          </w:tcPr>
          <w:p w14:paraId="5891AD10" w14:textId="77777777" w:rsidR="009F2F1D" w:rsidRPr="004870C7" w:rsidRDefault="009F2F1D" w:rsidP="0032777B">
            <w:pPr>
              <w:rPr>
                <w:rFonts w:asciiTheme="minorHAnsi" w:hAnsiTheme="minorHAnsi" w:cstheme="minorHAnsi"/>
                <w:szCs w:val="20"/>
              </w:rPr>
            </w:pPr>
          </w:p>
        </w:tc>
      </w:tr>
      <w:tr w:rsidR="009F2F1D" w:rsidRPr="004870C7" w14:paraId="19BF6D56" w14:textId="77777777" w:rsidTr="0032777B">
        <w:tc>
          <w:tcPr>
            <w:tcW w:w="2178" w:type="dxa"/>
            <w:shd w:val="clear" w:color="auto" w:fill="auto"/>
          </w:tcPr>
          <w:p w14:paraId="617BFE4A"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6CD746AE" w14:textId="77777777" w:rsidR="009F2F1D" w:rsidRPr="004870C7" w:rsidRDefault="009F2F1D" w:rsidP="0032777B">
            <w:pPr>
              <w:rPr>
                <w:rFonts w:asciiTheme="minorHAnsi" w:hAnsiTheme="minorHAnsi" w:cstheme="minorHAnsi"/>
                <w:szCs w:val="20"/>
              </w:rPr>
            </w:pPr>
          </w:p>
        </w:tc>
      </w:tr>
    </w:tbl>
    <w:p w14:paraId="5FD233EA" w14:textId="77777777" w:rsidR="009F2F1D" w:rsidRPr="004870C7" w:rsidRDefault="009F2F1D" w:rsidP="009F2F1D">
      <w:pPr>
        <w:rPr>
          <w:rFonts w:asciiTheme="minorHAnsi" w:hAnsiTheme="minorHAnsi" w:cstheme="minorHAnsi"/>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05"/>
      </w:tblGrid>
      <w:tr w:rsidR="009F2F1D" w:rsidRPr="004870C7" w14:paraId="17E9758D" w14:textId="77777777" w:rsidTr="0032777B">
        <w:tc>
          <w:tcPr>
            <w:tcW w:w="2178" w:type="dxa"/>
            <w:shd w:val="clear" w:color="auto" w:fill="auto"/>
          </w:tcPr>
          <w:p w14:paraId="1E1E7047" w14:textId="77777777" w:rsidR="009F2F1D" w:rsidRPr="004870C7" w:rsidRDefault="009F2F1D" w:rsidP="0032777B">
            <w:pPr>
              <w:rPr>
                <w:rFonts w:asciiTheme="minorHAnsi" w:hAnsiTheme="minorHAnsi" w:cstheme="minorHAnsi"/>
                <w:szCs w:val="20"/>
              </w:rPr>
            </w:pPr>
            <w:r w:rsidRPr="004870C7">
              <w:rPr>
                <w:rFonts w:asciiTheme="minorHAnsi" w:hAnsiTheme="minorHAnsi" w:cstheme="minorHAnsi"/>
                <w:szCs w:val="20"/>
              </w:rPr>
              <w:lastRenderedPageBreak/>
              <w:t xml:space="preserve">Final outcome </w:t>
            </w:r>
          </w:p>
        </w:tc>
        <w:tc>
          <w:tcPr>
            <w:tcW w:w="7398" w:type="dxa"/>
            <w:shd w:val="clear" w:color="auto" w:fill="auto"/>
          </w:tcPr>
          <w:p w14:paraId="10C60639" w14:textId="77777777" w:rsidR="009F2F1D" w:rsidRPr="004870C7" w:rsidRDefault="009F2F1D" w:rsidP="0032777B">
            <w:pPr>
              <w:rPr>
                <w:rFonts w:asciiTheme="minorHAnsi" w:hAnsiTheme="minorHAnsi" w:cstheme="minorHAnsi"/>
                <w:szCs w:val="20"/>
              </w:rPr>
            </w:pPr>
          </w:p>
        </w:tc>
      </w:tr>
      <w:tr w:rsidR="009F2F1D" w:rsidRPr="004870C7" w14:paraId="25413A04" w14:textId="77777777" w:rsidTr="0032777B">
        <w:tc>
          <w:tcPr>
            <w:tcW w:w="2178" w:type="dxa"/>
            <w:shd w:val="clear" w:color="auto" w:fill="auto"/>
          </w:tcPr>
          <w:p w14:paraId="724F6894"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1</w:t>
            </w:r>
          </w:p>
        </w:tc>
        <w:tc>
          <w:tcPr>
            <w:tcW w:w="7398" w:type="dxa"/>
            <w:shd w:val="clear" w:color="auto" w:fill="auto"/>
          </w:tcPr>
          <w:p w14:paraId="6B6BE51B" w14:textId="77777777" w:rsidR="009F2F1D" w:rsidRPr="004870C7" w:rsidRDefault="009F2F1D" w:rsidP="0032777B">
            <w:pPr>
              <w:rPr>
                <w:rFonts w:asciiTheme="minorHAnsi" w:hAnsiTheme="minorHAnsi" w:cstheme="minorHAnsi"/>
                <w:szCs w:val="20"/>
              </w:rPr>
            </w:pPr>
          </w:p>
        </w:tc>
      </w:tr>
      <w:tr w:rsidR="009F2F1D" w:rsidRPr="004870C7" w14:paraId="5FF0A670" w14:textId="77777777" w:rsidTr="0032777B">
        <w:tc>
          <w:tcPr>
            <w:tcW w:w="2178" w:type="dxa"/>
            <w:shd w:val="clear" w:color="auto" w:fill="auto"/>
          </w:tcPr>
          <w:p w14:paraId="525B7302"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2</w:t>
            </w:r>
          </w:p>
        </w:tc>
        <w:tc>
          <w:tcPr>
            <w:tcW w:w="7398" w:type="dxa"/>
            <w:shd w:val="clear" w:color="auto" w:fill="auto"/>
          </w:tcPr>
          <w:p w14:paraId="1957FF7A" w14:textId="77777777" w:rsidR="009F2F1D" w:rsidRPr="004870C7" w:rsidRDefault="009F2F1D" w:rsidP="0032777B">
            <w:pPr>
              <w:rPr>
                <w:rFonts w:asciiTheme="minorHAnsi" w:hAnsiTheme="minorHAnsi" w:cstheme="minorHAnsi"/>
                <w:szCs w:val="20"/>
              </w:rPr>
            </w:pPr>
          </w:p>
        </w:tc>
      </w:tr>
      <w:tr w:rsidR="009F2F1D" w:rsidRPr="004870C7" w14:paraId="747BAA44" w14:textId="77777777" w:rsidTr="0032777B">
        <w:tc>
          <w:tcPr>
            <w:tcW w:w="2178" w:type="dxa"/>
            <w:shd w:val="clear" w:color="auto" w:fill="auto"/>
          </w:tcPr>
          <w:p w14:paraId="2E2DFC97"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Final output 3</w:t>
            </w:r>
          </w:p>
        </w:tc>
        <w:tc>
          <w:tcPr>
            <w:tcW w:w="7398" w:type="dxa"/>
            <w:shd w:val="clear" w:color="auto" w:fill="auto"/>
          </w:tcPr>
          <w:p w14:paraId="354007E5" w14:textId="77777777" w:rsidR="009F2F1D" w:rsidRPr="004870C7" w:rsidRDefault="009F2F1D" w:rsidP="0032777B">
            <w:pPr>
              <w:rPr>
                <w:rFonts w:asciiTheme="minorHAnsi" w:hAnsiTheme="minorHAnsi" w:cstheme="minorHAnsi"/>
                <w:szCs w:val="20"/>
              </w:rPr>
            </w:pPr>
          </w:p>
        </w:tc>
      </w:tr>
      <w:tr w:rsidR="009F2F1D" w:rsidRPr="004870C7" w14:paraId="259BB9CB" w14:textId="77777777" w:rsidTr="0032777B">
        <w:tc>
          <w:tcPr>
            <w:tcW w:w="2178" w:type="dxa"/>
            <w:shd w:val="clear" w:color="auto" w:fill="auto"/>
          </w:tcPr>
          <w:p w14:paraId="473FD6E2" w14:textId="77777777" w:rsidR="009F2F1D" w:rsidRPr="004870C7" w:rsidRDefault="009F2F1D" w:rsidP="0032777B">
            <w:pPr>
              <w:jc w:val="right"/>
              <w:rPr>
                <w:rFonts w:asciiTheme="minorHAnsi" w:hAnsiTheme="minorHAnsi" w:cstheme="minorHAnsi"/>
                <w:szCs w:val="20"/>
              </w:rPr>
            </w:pPr>
            <w:r w:rsidRPr="004870C7">
              <w:rPr>
                <w:rFonts w:asciiTheme="minorHAnsi" w:hAnsiTheme="minorHAnsi" w:cstheme="minorHAnsi"/>
                <w:szCs w:val="20"/>
              </w:rPr>
              <w:t>…</w:t>
            </w:r>
          </w:p>
        </w:tc>
        <w:tc>
          <w:tcPr>
            <w:tcW w:w="7398" w:type="dxa"/>
            <w:shd w:val="clear" w:color="auto" w:fill="auto"/>
          </w:tcPr>
          <w:p w14:paraId="77237065" w14:textId="77777777" w:rsidR="009F2F1D" w:rsidRPr="004870C7" w:rsidRDefault="009F2F1D" w:rsidP="0032777B">
            <w:pPr>
              <w:rPr>
                <w:rFonts w:asciiTheme="minorHAnsi" w:hAnsiTheme="minorHAnsi" w:cstheme="minorHAnsi"/>
                <w:szCs w:val="20"/>
              </w:rPr>
            </w:pPr>
          </w:p>
        </w:tc>
      </w:tr>
    </w:tbl>
    <w:p w14:paraId="62337830" w14:textId="77777777" w:rsidR="009F2F1D" w:rsidRPr="004870C7" w:rsidRDefault="009F2F1D" w:rsidP="009F2F1D">
      <w:pPr>
        <w:rPr>
          <w:rFonts w:asciiTheme="minorHAnsi" w:hAnsiTheme="minorHAnsi" w:cstheme="minorHAnsi"/>
          <w:bCs/>
          <w:szCs w:val="20"/>
        </w:rPr>
      </w:pPr>
    </w:p>
    <w:p w14:paraId="6B96A24D"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Please, shortly discuss the expected outcomes and outputs of the Constraints and gaps, and related financial, technical and capacity needs component, 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14:paraId="0CDD4E2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10BCA1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C55B13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E7CA6C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F162C2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0A8BF8A" w14:textId="77777777" w:rsidR="009F2F1D" w:rsidRPr="004870C7" w:rsidRDefault="009F2F1D" w:rsidP="009F2F1D">
      <w:pPr>
        <w:pStyle w:val="CommentText"/>
        <w:rPr>
          <w:rFonts w:asciiTheme="minorHAnsi" w:hAnsiTheme="minorHAnsi" w:cstheme="minorHAnsi"/>
        </w:rPr>
      </w:pPr>
      <w:r w:rsidRPr="004870C7">
        <w:rPr>
          <w:rFonts w:asciiTheme="minorHAnsi" w:hAnsiTheme="minorHAnsi" w:cstheme="minorHAnsi"/>
        </w:rPr>
        <w:t xml:space="preserve">Can you describe the process(es) implemented to generate and validate outcomes and outputs? </w:t>
      </w:r>
    </w:p>
    <w:p w14:paraId="24C8F63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C9A50B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717EAF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B9E58E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4C4845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2158D7D" w14:textId="77777777" w:rsidR="009F2F1D" w:rsidRPr="004870C7" w:rsidRDefault="009F2F1D" w:rsidP="009F2F1D">
      <w:pPr>
        <w:rPr>
          <w:rFonts w:asciiTheme="minorHAnsi" w:hAnsiTheme="minorHAnsi" w:cstheme="minorHAnsi"/>
          <w:bCs/>
          <w:szCs w:val="20"/>
        </w:rPr>
      </w:pPr>
      <w:r w:rsidRPr="004870C7">
        <w:rPr>
          <w:rFonts w:asciiTheme="minorHAnsi" w:hAnsiTheme="minorHAnsi" w:cstheme="minorHAnsi"/>
          <w:bCs/>
          <w:szCs w:val="20"/>
        </w:rPr>
        <w:t>What pieces of advice do you have for future project teams?</w:t>
      </w:r>
    </w:p>
    <w:p w14:paraId="1FE1E1B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79D9D4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4A848B2" w14:textId="77777777" w:rsidR="009F2F1D" w:rsidRPr="004870C7" w:rsidRDefault="009F2F1D" w:rsidP="009F2F1D">
      <w:pPr>
        <w:rPr>
          <w:rFonts w:asciiTheme="minorHAnsi" w:hAnsiTheme="minorHAnsi" w:cstheme="minorHAnsi"/>
          <w:szCs w:val="20"/>
        </w:rPr>
      </w:pPr>
    </w:p>
    <w:p w14:paraId="36F9B792" w14:textId="77777777" w:rsidR="009F2F1D" w:rsidRPr="004870C7" w:rsidRDefault="009F2F1D" w:rsidP="009F2F1D">
      <w:pPr>
        <w:rPr>
          <w:rStyle w:val="SubtleEmphasis"/>
          <w:rFonts w:asciiTheme="minorHAnsi" w:hAnsiTheme="minorHAnsi" w:cstheme="minorHAnsi"/>
          <w:b/>
          <w:color w:val="44546A"/>
          <w:szCs w:val="20"/>
        </w:rPr>
      </w:pPr>
      <w:r w:rsidRPr="004870C7">
        <w:rPr>
          <w:rStyle w:val="SubtleEmphasis"/>
          <w:rFonts w:asciiTheme="minorHAnsi" w:hAnsiTheme="minorHAnsi" w:cstheme="minorHAnsi"/>
          <w:color w:val="44546A"/>
          <w:szCs w:val="20"/>
        </w:rPr>
        <w:t>Capacities and use of capacities</w:t>
      </w:r>
    </w:p>
    <w:p w14:paraId="25042CE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Do you believe the project has built - in a durable and cost-effective way - human and institutional capacities? Please, elaborate.</w:t>
      </w:r>
    </w:p>
    <w:p w14:paraId="2C3AD9E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8C754A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20778A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3ACDE1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Please, estimate the amount of work done by national consultants versus international consultants:</w:t>
      </w:r>
    </w:p>
    <w:p w14:paraId="09D1B589"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 xml:space="preserve">______________% national consultants. ________________% international consultants and ____________% national staff. </w:t>
      </w:r>
    </w:p>
    <w:p w14:paraId="4D2E08AF"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work was entrusted to international consultants and for what reasons?</w:t>
      </w:r>
    </w:p>
    <w:p w14:paraId="7A0FF91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1D3C73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48D629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F0B1E4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would you have done differently, or do you advise the next project team to consider in this context?</w:t>
      </w:r>
    </w:p>
    <w:p w14:paraId="68948BB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5BFC45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8DB280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A9C3F49"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lastRenderedPageBreak/>
        <w:t>Additional remarks</w:t>
      </w:r>
    </w:p>
    <w:p w14:paraId="77348EB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653C8FD"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75268E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F8F3B56" w14:textId="77777777" w:rsidR="009F2F1D" w:rsidRPr="004870C7" w:rsidRDefault="009F2F1D" w:rsidP="009F2F1D">
      <w:pPr>
        <w:rPr>
          <w:rStyle w:val="SubtleEmphasis"/>
          <w:rFonts w:asciiTheme="minorHAnsi" w:hAnsiTheme="minorHAnsi" w:cstheme="minorHAnsi"/>
          <w:b/>
          <w:color w:val="44546A"/>
          <w:szCs w:val="20"/>
        </w:rPr>
      </w:pPr>
      <w:r w:rsidRPr="004870C7">
        <w:rPr>
          <w:rStyle w:val="SubtleEmphasis"/>
          <w:rFonts w:asciiTheme="minorHAnsi" w:hAnsiTheme="minorHAnsi" w:cstheme="minorHAnsi"/>
          <w:color w:val="44546A"/>
          <w:szCs w:val="20"/>
        </w:rPr>
        <w:t>Institutional arrangements</w:t>
      </w:r>
    </w:p>
    <w:p w14:paraId="74E42EC7"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Please, summarize an overview of the institutional arrangements for the project implementation.</w:t>
      </w:r>
    </w:p>
    <w:p w14:paraId="70E36EA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0188E9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922872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CA6BBC8"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 xml:space="preserve">Please, describe the composition of the project team. </w:t>
      </w:r>
    </w:p>
    <w:p w14:paraId="137EA36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C4E6AC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763F48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0A949A6"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Will the team remain in place, even after the project has fully closed?</w:t>
      </w:r>
    </w:p>
    <w:p w14:paraId="797B0DE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00D1B51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Were gender considerations taken into account during the project design and implementation? If so, how?</w:t>
      </w:r>
    </w:p>
    <w:p w14:paraId="081CBB6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14D160F"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15542E0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976AC57"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Which were the strengths and weaknesses of the institutional arrangements used?</w:t>
      </w:r>
    </w:p>
    <w:p w14:paraId="38BE71BA"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w:t>
      </w:r>
    </w:p>
    <w:p w14:paraId="7D1DCA87"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What suggestions have you to make regarding the institutional arrangements for future NC/BUR work?</w:t>
      </w:r>
    </w:p>
    <w:p w14:paraId="7AEF94B3"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4289A6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4B73EC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4EF1879" w14:textId="77777777" w:rsidR="009F2F1D" w:rsidRPr="004870C7" w:rsidRDefault="009F2F1D" w:rsidP="009F2F1D">
      <w:pPr>
        <w:rPr>
          <w:rFonts w:asciiTheme="minorHAnsi" w:hAnsiTheme="minorHAnsi" w:cstheme="minorHAnsi"/>
          <w:iCs/>
          <w:szCs w:val="20"/>
        </w:rPr>
      </w:pPr>
      <w:r w:rsidRPr="004870C7">
        <w:rPr>
          <w:rFonts w:asciiTheme="minorHAnsi" w:hAnsiTheme="minorHAnsi" w:cstheme="minorHAnsi"/>
          <w:iCs/>
          <w:szCs w:val="20"/>
        </w:rPr>
        <w:t>Additional remarks</w:t>
      </w:r>
    </w:p>
    <w:p w14:paraId="138ADA2A"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0E028A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283FBF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C64F04A" w14:textId="77777777" w:rsidR="009F2F1D" w:rsidRPr="004870C7" w:rsidRDefault="009F2F1D" w:rsidP="009F2F1D">
      <w:pPr>
        <w:rPr>
          <w:rStyle w:val="SubtleEmphasis"/>
          <w:rFonts w:asciiTheme="minorHAnsi" w:hAnsiTheme="minorHAnsi" w:cstheme="minorHAnsi"/>
          <w:b/>
          <w:color w:val="44546A"/>
          <w:szCs w:val="20"/>
        </w:rPr>
      </w:pPr>
      <w:r w:rsidRPr="004870C7">
        <w:rPr>
          <w:rStyle w:val="SubtleEmphasis"/>
          <w:rFonts w:asciiTheme="minorHAnsi" w:hAnsiTheme="minorHAnsi" w:cstheme="minorHAnsi"/>
          <w:color w:val="44546A"/>
          <w:szCs w:val="20"/>
        </w:rPr>
        <w:t>Technical support from GSP, CGE, or other bodies</w:t>
      </w:r>
    </w:p>
    <w:p w14:paraId="2763396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Has the project team, or members of the project team, participated in national, regional or global training events organized by a center of excellence or above mentioned body during the course of the project? If yes, please, specify the training event(s).</w:t>
      </w:r>
    </w:p>
    <w:p w14:paraId="249CE05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156E92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E3B79E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AC13D21"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has been the contribution of this participation to the project results?</w:t>
      </w:r>
    </w:p>
    <w:p w14:paraId="6253187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8DF7D3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0D30F28"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BF92E26"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What identified knowledge gaps holding back the proper implementation of the NC project could not be addressed by any of the above mentioned bodies?</w:t>
      </w:r>
    </w:p>
    <w:p w14:paraId="016C3FA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lastRenderedPageBreak/>
        <w:t>____________________________________________________________________________________</w:t>
      </w:r>
    </w:p>
    <w:p w14:paraId="30D18C1B"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71F8BD60"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E8601D9"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In addition to capacity building support, what other assistance did the project team receive during project implementation? (E.g. review of draft report, technical backstopping of international expert)</w:t>
      </w:r>
    </w:p>
    <w:p w14:paraId="2601CEB4"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2E63A662"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3FF2D305"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196435A" w14:textId="77777777" w:rsidR="009F2F1D" w:rsidRPr="004870C7" w:rsidRDefault="009F2F1D" w:rsidP="009F2F1D">
      <w:pPr>
        <w:pStyle w:val="CommentText"/>
        <w:rPr>
          <w:rFonts w:asciiTheme="minorHAnsi" w:hAnsiTheme="minorHAnsi" w:cstheme="minorHAnsi"/>
        </w:rPr>
      </w:pPr>
      <w:r w:rsidRPr="004870C7">
        <w:rPr>
          <w:rFonts w:asciiTheme="minorHAnsi" w:hAnsiTheme="minorHAnsi" w:cstheme="minorHAnsi"/>
        </w:rPr>
        <w:t>Has UNDP provided timely and valuable support during project design and implementation? Please explain.</w:t>
      </w:r>
    </w:p>
    <w:p w14:paraId="5CA2BA0C"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69C83CD7"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41D3062E" w14:textId="77777777" w:rsidR="009F2F1D" w:rsidRPr="004870C7" w:rsidRDefault="009F2F1D" w:rsidP="009F2F1D">
      <w:pPr>
        <w:rPr>
          <w:rFonts w:asciiTheme="minorHAnsi" w:hAnsiTheme="minorHAnsi" w:cstheme="minorHAnsi"/>
          <w:szCs w:val="20"/>
        </w:rPr>
      </w:pPr>
      <w:r w:rsidRPr="004870C7">
        <w:rPr>
          <w:rFonts w:asciiTheme="minorHAnsi" w:hAnsiTheme="minorHAnsi" w:cstheme="minorHAnsi"/>
          <w:szCs w:val="20"/>
        </w:rPr>
        <w:t>____________________________________________________________________________________</w:t>
      </w:r>
    </w:p>
    <w:p w14:paraId="5AB89F1B" w14:textId="77777777" w:rsidR="00C1142E" w:rsidRPr="004870C7" w:rsidRDefault="009F2F1D" w:rsidP="00C1142E">
      <w:pPr>
        <w:rPr>
          <w:b/>
          <w:bCs/>
          <w:color w:val="4472C4" w:themeColor="accent1"/>
        </w:rPr>
      </w:pPr>
      <w:r w:rsidRPr="004870C7">
        <w:rPr>
          <w:rFonts w:asciiTheme="minorHAnsi" w:hAnsiTheme="minorHAnsi" w:cstheme="minorHAnsi"/>
          <w:szCs w:val="20"/>
        </w:rPr>
        <w:br w:type="page"/>
      </w:r>
      <w:r w:rsidR="00C1142E" w:rsidRPr="004870C7">
        <w:rPr>
          <w:b/>
          <w:bCs/>
          <w:color w:val="4472C4" w:themeColor="accent1"/>
        </w:rPr>
        <w:lastRenderedPageBreak/>
        <w:t>E.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6498"/>
      </w:tblGrid>
      <w:tr w:rsidR="00C1142E" w:rsidRPr="004870C7" w14:paraId="505556BF" w14:textId="77777777" w:rsidTr="0032777B">
        <w:tc>
          <w:tcPr>
            <w:tcW w:w="2898" w:type="dxa"/>
            <w:shd w:val="clear" w:color="auto" w:fill="auto"/>
          </w:tcPr>
          <w:p w14:paraId="77BCBDA0" w14:textId="77777777" w:rsidR="00C1142E" w:rsidRPr="004870C7" w:rsidRDefault="00C1142E" w:rsidP="0032777B">
            <w:pPr>
              <w:rPr>
                <w:rFonts w:asciiTheme="minorHAnsi" w:hAnsiTheme="minorHAnsi" w:cstheme="minorHAnsi"/>
                <w:szCs w:val="20"/>
              </w:rPr>
            </w:pPr>
            <w:r w:rsidRPr="004870C7">
              <w:rPr>
                <w:rFonts w:asciiTheme="minorHAnsi" w:hAnsiTheme="minorHAnsi" w:cstheme="minorHAnsi"/>
                <w:szCs w:val="20"/>
              </w:rPr>
              <w:t>Date</w:t>
            </w:r>
          </w:p>
        </w:tc>
        <w:tc>
          <w:tcPr>
            <w:tcW w:w="6678" w:type="dxa"/>
            <w:shd w:val="clear" w:color="auto" w:fill="auto"/>
          </w:tcPr>
          <w:p w14:paraId="1EC395C5" w14:textId="77777777" w:rsidR="00C1142E" w:rsidRPr="004870C7" w:rsidRDefault="00C1142E" w:rsidP="0032777B">
            <w:pPr>
              <w:rPr>
                <w:rFonts w:asciiTheme="minorHAnsi" w:hAnsiTheme="minorHAnsi" w:cstheme="minorHAnsi"/>
                <w:szCs w:val="20"/>
              </w:rPr>
            </w:pPr>
          </w:p>
        </w:tc>
      </w:tr>
      <w:tr w:rsidR="00C1142E" w:rsidRPr="004870C7" w14:paraId="4023CCF8" w14:textId="77777777" w:rsidTr="0032777B">
        <w:tc>
          <w:tcPr>
            <w:tcW w:w="2898" w:type="dxa"/>
            <w:shd w:val="clear" w:color="auto" w:fill="auto"/>
          </w:tcPr>
          <w:p w14:paraId="74EDAF5B" w14:textId="77777777" w:rsidR="00C1142E" w:rsidRPr="004870C7" w:rsidRDefault="00C1142E" w:rsidP="0032777B">
            <w:pPr>
              <w:rPr>
                <w:rFonts w:asciiTheme="minorHAnsi" w:hAnsiTheme="minorHAnsi" w:cstheme="minorHAnsi"/>
                <w:szCs w:val="20"/>
              </w:rPr>
            </w:pPr>
            <w:r w:rsidRPr="004870C7">
              <w:rPr>
                <w:rFonts w:asciiTheme="minorHAnsi" w:hAnsiTheme="minorHAnsi" w:cstheme="minorHAnsi"/>
                <w:szCs w:val="20"/>
              </w:rPr>
              <w:t>Name and e-mail address of person who completed this template</w:t>
            </w:r>
          </w:p>
        </w:tc>
        <w:tc>
          <w:tcPr>
            <w:tcW w:w="6678" w:type="dxa"/>
            <w:shd w:val="clear" w:color="auto" w:fill="auto"/>
          </w:tcPr>
          <w:p w14:paraId="5D6D2B52" w14:textId="77777777" w:rsidR="00C1142E" w:rsidRPr="004870C7" w:rsidRDefault="00C1142E" w:rsidP="0032777B">
            <w:pPr>
              <w:rPr>
                <w:rFonts w:asciiTheme="minorHAnsi" w:hAnsiTheme="minorHAnsi" w:cstheme="minorHAnsi"/>
                <w:szCs w:val="20"/>
              </w:rPr>
            </w:pPr>
          </w:p>
        </w:tc>
      </w:tr>
      <w:tr w:rsidR="00C1142E" w:rsidRPr="004870C7" w14:paraId="44C40CBA" w14:textId="77777777" w:rsidTr="0032777B">
        <w:tc>
          <w:tcPr>
            <w:tcW w:w="2898" w:type="dxa"/>
            <w:shd w:val="clear" w:color="auto" w:fill="auto"/>
          </w:tcPr>
          <w:p w14:paraId="387B1A50" w14:textId="77777777" w:rsidR="00C1142E" w:rsidRPr="004870C7" w:rsidRDefault="00C1142E" w:rsidP="0032777B">
            <w:pPr>
              <w:rPr>
                <w:rFonts w:asciiTheme="minorHAnsi" w:hAnsiTheme="minorHAnsi" w:cstheme="minorHAnsi"/>
                <w:szCs w:val="20"/>
              </w:rPr>
            </w:pPr>
            <w:r w:rsidRPr="004870C7">
              <w:rPr>
                <w:rFonts w:asciiTheme="minorHAnsi" w:hAnsiTheme="minorHAnsi" w:cstheme="minorHAnsi"/>
                <w:szCs w:val="20"/>
              </w:rPr>
              <w:t>Others involved in completion of this template (names of individuals and their institutions)</w:t>
            </w:r>
          </w:p>
        </w:tc>
        <w:tc>
          <w:tcPr>
            <w:tcW w:w="6678" w:type="dxa"/>
            <w:shd w:val="clear" w:color="auto" w:fill="auto"/>
          </w:tcPr>
          <w:p w14:paraId="65AD4F32" w14:textId="77777777" w:rsidR="00C1142E" w:rsidRPr="004870C7" w:rsidRDefault="00C1142E" w:rsidP="0032777B">
            <w:pPr>
              <w:rPr>
                <w:rFonts w:asciiTheme="minorHAnsi" w:hAnsiTheme="minorHAnsi" w:cstheme="minorHAnsi"/>
                <w:szCs w:val="20"/>
              </w:rPr>
            </w:pPr>
          </w:p>
        </w:tc>
      </w:tr>
      <w:tr w:rsidR="00C1142E" w:rsidRPr="004870C7" w14:paraId="40486F49" w14:textId="77777777" w:rsidTr="0032777B">
        <w:tc>
          <w:tcPr>
            <w:tcW w:w="2898" w:type="dxa"/>
            <w:shd w:val="clear" w:color="auto" w:fill="auto"/>
          </w:tcPr>
          <w:p w14:paraId="30291410" w14:textId="77777777" w:rsidR="00C1142E" w:rsidRPr="004870C7" w:rsidRDefault="00C1142E" w:rsidP="0032777B">
            <w:pPr>
              <w:rPr>
                <w:rFonts w:asciiTheme="minorHAnsi" w:hAnsiTheme="minorHAnsi" w:cstheme="minorHAnsi"/>
                <w:szCs w:val="20"/>
              </w:rPr>
            </w:pPr>
            <w:r w:rsidRPr="004870C7">
              <w:rPr>
                <w:rFonts w:asciiTheme="minorHAnsi" w:hAnsiTheme="minorHAnsi" w:cstheme="minorHAnsi"/>
                <w:szCs w:val="20"/>
              </w:rPr>
              <w:t>In case a terminal evaluation report has been produced, please link it here.</w:t>
            </w:r>
          </w:p>
        </w:tc>
        <w:tc>
          <w:tcPr>
            <w:tcW w:w="6678" w:type="dxa"/>
            <w:shd w:val="clear" w:color="auto" w:fill="auto"/>
          </w:tcPr>
          <w:p w14:paraId="32F37125" w14:textId="77777777" w:rsidR="00C1142E" w:rsidRPr="004870C7" w:rsidRDefault="00C1142E" w:rsidP="0032777B">
            <w:pPr>
              <w:rPr>
                <w:rFonts w:asciiTheme="minorHAnsi" w:hAnsiTheme="minorHAnsi" w:cstheme="minorHAnsi"/>
                <w:szCs w:val="20"/>
              </w:rPr>
            </w:pPr>
          </w:p>
        </w:tc>
      </w:tr>
      <w:tr w:rsidR="00C1142E" w:rsidRPr="004870C7" w14:paraId="3E4B2EE5" w14:textId="77777777" w:rsidTr="0032777B">
        <w:tc>
          <w:tcPr>
            <w:tcW w:w="2898" w:type="dxa"/>
            <w:shd w:val="clear" w:color="auto" w:fill="auto"/>
          </w:tcPr>
          <w:p w14:paraId="35E20B01" w14:textId="77777777" w:rsidR="00C1142E" w:rsidRPr="004870C7" w:rsidRDefault="00C1142E" w:rsidP="0032777B">
            <w:pPr>
              <w:rPr>
                <w:rFonts w:asciiTheme="minorHAnsi" w:hAnsiTheme="minorHAnsi" w:cstheme="minorHAnsi"/>
                <w:szCs w:val="20"/>
              </w:rPr>
            </w:pPr>
            <w:r w:rsidRPr="004870C7">
              <w:rPr>
                <w:rFonts w:asciiTheme="minorHAnsi" w:hAnsiTheme="minorHAnsi" w:cstheme="minorHAnsi"/>
                <w:szCs w:val="20"/>
              </w:rPr>
              <w:t>Other attachments</w:t>
            </w:r>
          </w:p>
        </w:tc>
        <w:tc>
          <w:tcPr>
            <w:tcW w:w="6678" w:type="dxa"/>
            <w:shd w:val="clear" w:color="auto" w:fill="auto"/>
          </w:tcPr>
          <w:p w14:paraId="3BCCE3C7" w14:textId="77777777" w:rsidR="00C1142E" w:rsidRPr="004870C7" w:rsidRDefault="00C1142E" w:rsidP="0032777B">
            <w:pPr>
              <w:rPr>
                <w:rFonts w:asciiTheme="minorHAnsi" w:hAnsiTheme="minorHAnsi" w:cstheme="minorHAnsi"/>
                <w:szCs w:val="20"/>
              </w:rPr>
            </w:pPr>
          </w:p>
        </w:tc>
      </w:tr>
    </w:tbl>
    <w:p w14:paraId="6552ECB8" w14:textId="77777777" w:rsidR="00C1142E" w:rsidRPr="004870C7" w:rsidRDefault="00C1142E" w:rsidP="00C1142E">
      <w:pPr>
        <w:rPr>
          <w:rFonts w:asciiTheme="minorHAnsi" w:hAnsiTheme="minorHAnsi" w:cstheme="minorHAnsi"/>
          <w:szCs w:val="20"/>
        </w:rPr>
      </w:pPr>
    </w:p>
    <w:p w14:paraId="39502D67" w14:textId="77777777" w:rsidR="00C1142E" w:rsidRPr="004870C7" w:rsidRDefault="00C1142E" w:rsidP="00C1142E">
      <w:pPr>
        <w:keepNext/>
        <w:keepLines/>
        <w:spacing w:before="480" w:after="0"/>
        <w:jc w:val="left"/>
        <w:outlineLvl w:val="0"/>
        <w:rPr>
          <w:rFonts w:asciiTheme="minorHAnsi" w:hAnsiTheme="minorHAnsi" w:cstheme="minorHAnsi"/>
          <w:b/>
          <w:bCs/>
          <w:iCs/>
          <w:szCs w:val="20"/>
        </w:rPr>
      </w:pPr>
    </w:p>
    <w:p w14:paraId="57A0F923" w14:textId="53EAAB19" w:rsidR="009F2F1D" w:rsidRPr="004870C7" w:rsidRDefault="009F2F1D" w:rsidP="009F2F1D">
      <w:pPr>
        <w:rPr>
          <w:rFonts w:asciiTheme="minorHAnsi" w:hAnsiTheme="minorHAnsi" w:cstheme="minorHAnsi"/>
          <w:b/>
          <w:bCs/>
          <w:color w:val="5B9BD5"/>
          <w:szCs w:val="20"/>
        </w:rPr>
      </w:pPr>
    </w:p>
    <w:p w14:paraId="223464D1" w14:textId="77777777" w:rsidR="009F2F1D" w:rsidRPr="004870C7" w:rsidRDefault="009F2F1D" w:rsidP="00ED625F">
      <w:pPr>
        <w:rPr>
          <w:color w:val="000000"/>
        </w:rPr>
      </w:pPr>
    </w:p>
    <w:sectPr w:rsidR="009F2F1D" w:rsidRPr="004870C7" w:rsidSect="009327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94E3" w14:textId="77777777" w:rsidR="00924921" w:rsidRDefault="00924921">
      <w:r>
        <w:separator/>
      </w:r>
    </w:p>
  </w:endnote>
  <w:endnote w:type="continuationSeparator" w:id="0">
    <w:p w14:paraId="15FD6F9D" w14:textId="77777777" w:rsidR="00924921" w:rsidRDefault="00924921">
      <w:r>
        <w:continuationSeparator/>
      </w:r>
    </w:p>
  </w:endnote>
  <w:endnote w:type="continuationNotice" w:id="1">
    <w:p w14:paraId="06F75639" w14:textId="77777777" w:rsidR="00924921" w:rsidRDefault="009249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Regular">
    <w:altName w:val="Cambria"/>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E292A" w14:textId="77777777" w:rsidR="00FE5C31" w:rsidRPr="0086069F" w:rsidRDefault="00FE5C31" w:rsidP="0003763F">
    <w:pPr>
      <w:pStyle w:val="Footer"/>
      <w:pBdr>
        <w:top w:val="single" w:sz="4" w:space="1" w:color="D9D9D9"/>
      </w:pBdr>
      <w:jc w:val="right"/>
      <w:rPr>
        <w:sz w:val="18"/>
        <w:szCs w:val="18"/>
      </w:rPr>
    </w:pPr>
    <w:r w:rsidRPr="0086069F">
      <w:rPr>
        <w:sz w:val="18"/>
        <w:szCs w:val="18"/>
      </w:rPr>
      <w:fldChar w:fldCharType="begin"/>
    </w:r>
    <w:r w:rsidRPr="0086069F">
      <w:rPr>
        <w:sz w:val="18"/>
        <w:szCs w:val="18"/>
      </w:rPr>
      <w:instrText xml:space="preserve"> PAGE   \* MERGEFORMAT </w:instrText>
    </w:r>
    <w:r w:rsidRPr="0086069F">
      <w:rPr>
        <w:sz w:val="18"/>
        <w:szCs w:val="18"/>
      </w:rPr>
      <w:fldChar w:fldCharType="separate"/>
    </w:r>
    <w:r w:rsidRPr="0086069F">
      <w:rPr>
        <w:noProof/>
        <w:sz w:val="18"/>
        <w:szCs w:val="18"/>
      </w:rPr>
      <w:t>13</w:t>
    </w:r>
    <w:r w:rsidRPr="0086069F">
      <w:rPr>
        <w:noProof/>
        <w:sz w:val="18"/>
        <w:szCs w:val="18"/>
      </w:rPr>
      <w:fldChar w:fldCharType="end"/>
    </w:r>
    <w:r w:rsidRPr="0086069F">
      <w:rPr>
        <w:sz w:val="18"/>
        <w:szCs w:val="18"/>
      </w:rPr>
      <w:t xml:space="preserve"> | </w:t>
    </w:r>
    <w:r w:rsidRPr="0086069F">
      <w:rPr>
        <w:color w:val="7F7F7F"/>
        <w:spacing w:val="60"/>
        <w:sz w:val="18"/>
        <w:szCs w:val="18"/>
      </w:rPr>
      <w:t>Page</w:t>
    </w:r>
  </w:p>
  <w:p w14:paraId="631DFC62" w14:textId="77777777" w:rsidR="00FE5C31" w:rsidRDefault="00FE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A796" w14:textId="77777777" w:rsidR="00FE5C31" w:rsidRPr="00CE62FD" w:rsidRDefault="00FE5C31" w:rsidP="003F5615">
    <w:pPr>
      <w:pStyle w:val="Footer"/>
      <w:pBdr>
        <w:top w:val="single" w:sz="4" w:space="1" w:color="D9D9D9"/>
      </w:pBdr>
      <w:tabs>
        <w:tab w:val="left" w:pos="345"/>
        <w:tab w:val="right" w:pos="9360"/>
      </w:tabs>
      <w:jc w:val="right"/>
      <w:rPr>
        <w:sz w:val="18"/>
        <w:szCs w:val="18"/>
      </w:rPr>
    </w:pPr>
    <w:r w:rsidRPr="00CE62FD">
      <w:rPr>
        <w:sz w:val="18"/>
        <w:szCs w:val="18"/>
      </w:rPr>
      <w:tab/>
    </w:r>
    <w:r w:rsidRPr="00CE62FD">
      <w:rPr>
        <w:sz w:val="18"/>
        <w:szCs w:val="18"/>
      </w:rPr>
      <w:tab/>
    </w:r>
    <w:r w:rsidRPr="00CE62FD">
      <w:rPr>
        <w:sz w:val="18"/>
        <w:szCs w:val="18"/>
      </w:rPr>
      <w:tab/>
    </w:r>
    <w:r w:rsidRPr="00CE62FD">
      <w:rPr>
        <w:sz w:val="18"/>
        <w:szCs w:val="18"/>
      </w:rPr>
      <w:tab/>
    </w:r>
    <w:r w:rsidRPr="00CE62FD">
      <w:rPr>
        <w:sz w:val="18"/>
        <w:szCs w:val="18"/>
      </w:rPr>
      <w:fldChar w:fldCharType="begin"/>
    </w:r>
    <w:r w:rsidRPr="00CE62FD">
      <w:rPr>
        <w:sz w:val="18"/>
        <w:szCs w:val="18"/>
      </w:rPr>
      <w:instrText xml:space="preserve"> PAGE   \* MERGEFORMAT </w:instrText>
    </w:r>
    <w:r w:rsidRPr="00CE62FD">
      <w:rPr>
        <w:sz w:val="18"/>
        <w:szCs w:val="18"/>
      </w:rPr>
      <w:fldChar w:fldCharType="separate"/>
    </w:r>
    <w:r w:rsidRPr="00CE62FD">
      <w:rPr>
        <w:noProof/>
        <w:sz w:val="18"/>
        <w:szCs w:val="18"/>
      </w:rPr>
      <w:t>25</w:t>
    </w:r>
    <w:r w:rsidRPr="00CE62FD">
      <w:rPr>
        <w:noProof/>
        <w:sz w:val="18"/>
        <w:szCs w:val="18"/>
      </w:rPr>
      <w:fldChar w:fldCharType="end"/>
    </w:r>
    <w:r w:rsidRPr="00CE62FD">
      <w:rPr>
        <w:sz w:val="18"/>
        <w:szCs w:val="18"/>
      </w:rPr>
      <w:t xml:space="preserve"> | </w:t>
    </w:r>
    <w:r w:rsidRPr="00CE62FD">
      <w:rPr>
        <w:color w:val="7F7F7F"/>
        <w:spacing w:val="60"/>
        <w:sz w:val="18"/>
        <w:szCs w:val="18"/>
      </w:rPr>
      <w:t>Page</w:t>
    </w:r>
  </w:p>
  <w:p w14:paraId="2479D646" w14:textId="77777777" w:rsidR="00FE5C31" w:rsidRDefault="00FE5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CFC1" w14:textId="77777777" w:rsidR="00FE5C31" w:rsidRDefault="00FE5C31" w:rsidP="00FD3A8F">
    <w:pPr>
      <w:pStyle w:val="Header"/>
    </w:pPr>
  </w:p>
  <w:p w14:paraId="4DF4F3DB" w14:textId="77777777" w:rsidR="00FE5C31" w:rsidRDefault="00FE5C31" w:rsidP="0003763F">
    <w:pPr>
      <w:pStyle w:val="Footer"/>
      <w:pBdr>
        <w:top w:val="single" w:sz="4" w:space="1" w:color="D9D9D9"/>
      </w:pBdr>
      <w:jc w:val="right"/>
    </w:pPr>
    <w:r>
      <w:fldChar w:fldCharType="begin"/>
    </w:r>
    <w:r>
      <w:instrText xml:space="preserve"> PAGE   \* MERGEFORMAT </w:instrText>
    </w:r>
    <w:r>
      <w:fldChar w:fldCharType="separate"/>
    </w:r>
    <w:r>
      <w:rPr>
        <w:noProof/>
      </w:rPr>
      <w:t>24</w:t>
    </w:r>
    <w:r>
      <w:rPr>
        <w:noProof/>
      </w:rPr>
      <w:fldChar w:fldCharType="end"/>
    </w:r>
    <w:r>
      <w:t xml:space="preserve"> | </w:t>
    </w:r>
    <w:r w:rsidRPr="0003763F">
      <w:rPr>
        <w:color w:val="7F7F7F"/>
        <w:spacing w:val="60"/>
      </w:rPr>
      <w:t>Page</w:t>
    </w:r>
  </w:p>
  <w:p w14:paraId="493C031B" w14:textId="77777777" w:rsidR="00FE5C31" w:rsidRDefault="00FE5C31" w:rsidP="00FD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5CC7A" w14:textId="77777777" w:rsidR="00924921" w:rsidRDefault="00924921">
      <w:r>
        <w:separator/>
      </w:r>
    </w:p>
  </w:footnote>
  <w:footnote w:type="continuationSeparator" w:id="0">
    <w:p w14:paraId="29073C41" w14:textId="77777777" w:rsidR="00924921" w:rsidRDefault="00924921">
      <w:r>
        <w:continuationSeparator/>
      </w:r>
    </w:p>
  </w:footnote>
  <w:footnote w:type="continuationNotice" w:id="1">
    <w:p w14:paraId="1ABAB8BA" w14:textId="77777777" w:rsidR="00924921" w:rsidRDefault="00924921">
      <w:pPr>
        <w:spacing w:after="0"/>
      </w:pPr>
    </w:p>
  </w:footnote>
  <w:footnote w:id="2">
    <w:p w14:paraId="36213BBC" w14:textId="0D8D23A1" w:rsidR="00FE5C31" w:rsidRDefault="00FE5C31" w:rsidP="00335643">
      <w:pPr>
        <w:pStyle w:val="FootnoteText"/>
        <w:jc w:val="left"/>
      </w:pPr>
      <w:r>
        <w:rPr>
          <w:rStyle w:val="FootnoteReference"/>
        </w:rPr>
        <w:footnoteRef/>
      </w:r>
      <w:r>
        <w:t xml:space="preserve"> Please refer to Annex 6</w:t>
      </w:r>
    </w:p>
  </w:footnote>
  <w:footnote w:id="3">
    <w:p w14:paraId="37B650E7" w14:textId="77777777" w:rsidR="00FE5C31" w:rsidRPr="00F10258" w:rsidRDefault="00FE5C31" w:rsidP="006A0DE6">
      <w:pPr>
        <w:rPr>
          <w:iCs/>
          <w:sz w:val="16"/>
          <w:szCs w:val="16"/>
        </w:rPr>
      </w:pPr>
      <w:r w:rsidRPr="00F10258">
        <w:rPr>
          <w:rStyle w:val="FootnoteReference"/>
        </w:rPr>
        <w:footnoteRef/>
      </w:r>
      <w:r w:rsidRPr="00F10258">
        <w:rPr>
          <w:sz w:val="16"/>
          <w:szCs w:val="16"/>
        </w:rPr>
        <w:t xml:space="preserve"> </w:t>
      </w:r>
      <w:r w:rsidRPr="00F10258">
        <w:rPr>
          <w:iCs/>
          <w:sz w:val="16"/>
          <w:szCs w:val="16"/>
        </w:rPr>
        <w:t xml:space="preserve">The GEF Enabling Activities and policy/strategy work 33. Enabling Activity projects provide financing for the preparation of a plan, strategy, or national program to fulfill the commitments under the Conventions that the GEF serves, including national communication or reports to the Conventions. Similarly, many GEF-financed medium- and full-size projects include activities that focus on developing and preparing national policies or strategies and, as such, do not work directly with beneficiaries on the ground. These plans and strategies provide an essential opportunity to recognize, build capacity, and to develop actions to advance GEWE. Some possible actions to include in these national documents include the following: </w:t>
      </w:r>
    </w:p>
    <w:p w14:paraId="684A8B80" w14:textId="77777777" w:rsidR="00FE5C31" w:rsidRPr="00F10258" w:rsidRDefault="00FE5C31" w:rsidP="006A0DE6">
      <w:pPr>
        <w:rPr>
          <w:iCs/>
          <w:sz w:val="16"/>
          <w:szCs w:val="16"/>
        </w:rPr>
      </w:pPr>
      <w:r w:rsidRPr="00F10258">
        <w:rPr>
          <w:iCs/>
          <w:sz w:val="16"/>
          <w:szCs w:val="16"/>
        </w:rPr>
        <w:t> ▪ request that gender experts review draft plans and strategies;</w:t>
      </w:r>
    </w:p>
    <w:p w14:paraId="0ED6A8AF" w14:textId="77777777" w:rsidR="00FE5C31" w:rsidRPr="00EC2CCC" w:rsidRDefault="00FE5C31" w:rsidP="006A0DE6">
      <w:pPr>
        <w:rPr>
          <w:iCs/>
          <w:sz w:val="16"/>
          <w:szCs w:val="16"/>
        </w:rPr>
      </w:pPr>
      <w:r w:rsidRPr="00EC2CCC">
        <w:rPr>
          <w:iCs/>
          <w:sz w:val="16"/>
          <w:szCs w:val="16"/>
        </w:rPr>
        <w:t>▪ ensure that any background and stocktaking exercises associated with development of the plans and strategies adequately account for the different roles</w:t>
      </w:r>
      <w:r w:rsidRPr="00EC2CCC">
        <w:rPr>
          <w:iCs/>
          <w:sz w:val="18"/>
          <w:szCs w:val="18"/>
        </w:rPr>
        <w:t xml:space="preserve"> </w:t>
      </w:r>
      <w:r w:rsidRPr="00EC2CCC">
        <w:rPr>
          <w:iCs/>
          <w:sz w:val="16"/>
          <w:szCs w:val="16"/>
        </w:rPr>
        <w:t>for women and men;</w:t>
      </w:r>
    </w:p>
    <w:p w14:paraId="5C120CBA" w14:textId="77777777" w:rsidR="00FE5C31" w:rsidRPr="00EC2CCC" w:rsidRDefault="00FE5C31" w:rsidP="006A0DE6">
      <w:pPr>
        <w:rPr>
          <w:iCs/>
          <w:sz w:val="16"/>
          <w:szCs w:val="16"/>
        </w:rPr>
      </w:pPr>
      <w:r w:rsidRPr="00EC2CCC">
        <w:rPr>
          <w:iCs/>
          <w:sz w:val="18"/>
          <w:szCs w:val="18"/>
        </w:rPr>
        <w:t xml:space="preserve">▪ </w:t>
      </w:r>
      <w:r w:rsidRPr="00EC2CCC">
        <w:rPr>
          <w:iCs/>
          <w:sz w:val="16"/>
          <w:szCs w:val="16"/>
        </w:rPr>
        <w:t>ensure that women are effectively engaged as members of stakeholder groups consulted during development of the strategies and plans;</w:t>
      </w:r>
    </w:p>
    <w:p w14:paraId="3B7F1C87" w14:textId="77777777" w:rsidR="00FE5C31" w:rsidRPr="00EC2CCC" w:rsidRDefault="00FE5C31" w:rsidP="006A0DE6">
      <w:pPr>
        <w:rPr>
          <w:iCs/>
          <w:sz w:val="16"/>
          <w:szCs w:val="16"/>
        </w:rPr>
      </w:pPr>
      <w:r w:rsidRPr="00EC2CCC">
        <w:rPr>
          <w:iCs/>
          <w:sz w:val="18"/>
          <w:szCs w:val="18"/>
        </w:rPr>
        <w:t xml:space="preserve">▪ </w:t>
      </w:r>
      <w:r w:rsidRPr="00EC2CCC">
        <w:rPr>
          <w:iCs/>
          <w:sz w:val="16"/>
          <w:szCs w:val="16"/>
        </w:rPr>
        <w:t xml:space="preserve">consider including gender-disaggregated data collection and/or gender-specific indicators; and </w:t>
      </w:r>
    </w:p>
    <w:p w14:paraId="16764289" w14:textId="77777777" w:rsidR="00FE5C31" w:rsidRPr="00EC2CCC" w:rsidRDefault="00FE5C31" w:rsidP="006A0DE6">
      <w:pPr>
        <w:rPr>
          <w:iCs/>
          <w:sz w:val="16"/>
          <w:szCs w:val="16"/>
        </w:rPr>
      </w:pPr>
      <w:r w:rsidRPr="00EC2CCC">
        <w:rPr>
          <w:iCs/>
          <w:sz w:val="16"/>
          <w:szCs w:val="16"/>
        </w:rPr>
        <w:t>▪ consider how national gender policies can be incorporated into sectoral strategies and action plans.</w:t>
      </w:r>
    </w:p>
    <w:p w14:paraId="51E32CED" w14:textId="77777777" w:rsidR="00FE5C31" w:rsidRPr="00F674F3" w:rsidRDefault="00FE5C31" w:rsidP="006A0DE6">
      <w:pPr>
        <w:pStyle w:val="FootnoteText"/>
      </w:pPr>
    </w:p>
  </w:footnote>
  <w:footnote w:id="4">
    <w:p w14:paraId="133F71EB" w14:textId="77777777" w:rsidR="00FE5C31" w:rsidRPr="00F10258" w:rsidRDefault="00FE5C31" w:rsidP="006A0DE6">
      <w:pPr>
        <w:pStyle w:val="FootnoteText"/>
        <w:rPr>
          <w:color w:val="000000"/>
          <w:sz w:val="16"/>
          <w:szCs w:val="16"/>
        </w:rPr>
      </w:pPr>
      <w:r w:rsidRPr="00F10258">
        <w:rPr>
          <w:rStyle w:val="FootnoteReference"/>
        </w:rPr>
        <w:footnoteRef/>
      </w:r>
      <w:r w:rsidRPr="00F10258">
        <w:rPr>
          <w:color w:val="000000"/>
          <w:sz w:val="16"/>
          <w:szCs w:val="16"/>
        </w:rPr>
        <w:t xml:space="preserve"> Guide to Conducting a Participatory Gender Analysis and Developing a Gender Action Plan for projects supported by UNDP with GEF financing:</w:t>
      </w:r>
    </w:p>
    <w:p w14:paraId="0401F47B" w14:textId="77777777" w:rsidR="00FE5C31" w:rsidRPr="00F10258" w:rsidRDefault="00F37A13" w:rsidP="006A0DE6">
      <w:pPr>
        <w:pStyle w:val="FootnoteText"/>
        <w:rPr>
          <w:sz w:val="16"/>
          <w:szCs w:val="16"/>
        </w:rPr>
      </w:pPr>
      <w:hyperlink r:id="rId1" w:history="1">
        <w:r w:rsidR="00FE5C31" w:rsidRPr="00F10258">
          <w:rPr>
            <w:rStyle w:val="Hyperlink"/>
            <w:sz w:val="16"/>
            <w:szCs w:val="16"/>
          </w:rPr>
          <w:t>https://intranet.undp.org/unit/bpps/sdev/gef/_layouts/15/WopiFrame.aspx?sourcedoc=/unit/bpps/sdev/gef/Gender%20Library/UNDP%20GEF%20Guidance.%20How%20to%20conduct%20gender%20analysis%20and%20gender%20action%20plan.pdf&amp;action=default</w:t>
        </w:r>
      </w:hyperlink>
      <w:r w:rsidR="00FE5C31" w:rsidRPr="00F10258">
        <w:rPr>
          <w:sz w:val="16"/>
          <w:szCs w:val="16"/>
        </w:rPr>
        <w:t xml:space="preserve"> </w:t>
      </w:r>
    </w:p>
  </w:footnote>
  <w:footnote w:id="5">
    <w:p w14:paraId="5A0CB753" w14:textId="77777777" w:rsidR="00FE5C31" w:rsidRPr="00F10258" w:rsidRDefault="00FE5C31" w:rsidP="006A0DE6">
      <w:pPr>
        <w:pStyle w:val="FootnoteText"/>
        <w:rPr>
          <w:sz w:val="16"/>
          <w:szCs w:val="16"/>
        </w:rPr>
      </w:pPr>
      <w:r w:rsidRPr="00F10258">
        <w:rPr>
          <w:rStyle w:val="FootnoteReference"/>
        </w:rPr>
        <w:footnoteRef/>
      </w:r>
      <w:r w:rsidRPr="00F10258">
        <w:rPr>
          <w:sz w:val="16"/>
          <w:szCs w:val="16"/>
        </w:rPr>
        <w:t xml:space="preserve"> </w:t>
      </w:r>
      <w:hyperlink r:id="rId2" w:history="1">
        <w:r w:rsidRPr="00F10258">
          <w:rPr>
            <w:rStyle w:val="Hyperlink"/>
            <w:sz w:val="16"/>
            <w:szCs w:val="16"/>
          </w:rPr>
          <w:t>http://www.thegef.org/sites/default/files/council-meeting-documents/EN_GEF.C.53.04_Gender_Policy.pdf</w:t>
        </w:r>
      </w:hyperlink>
      <w:r w:rsidRPr="00F10258">
        <w:rPr>
          <w:sz w:val="16"/>
          <w:szCs w:val="16"/>
        </w:rPr>
        <w:t xml:space="preserve"> </w:t>
      </w:r>
    </w:p>
  </w:footnote>
  <w:footnote w:id="6">
    <w:p w14:paraId="34E1BE2D" w14:textId="77777777" w:rsidR="00FE5C31" w:rsidRPr="00F10258" w:rsidRDefault="00FE5C31" w:rsidP="006A0DE6">
      <w:pPr>
        <w:pStyle w:val="FootnoteText"/>
        <w:rPr>
          <w:sz w:val="16"/>
          <w:szCs w:val="16"/>
        </w:rPr>
      </w:pPr>
      <w:r w:rsidRPr="00F10258">
        <w:rPr>
          <w:rStyle w:val="FootnoteReference"/>
        </w:rPr>
        <w:footnoteRef/>
      </w:r>
      <w:r w:rsidRPr="00F10258">
        <w:rPr>
          <w:sz w:val="16"/>
          <w:szCs w:val="16"/>
        </w:rPr>
        <w:t xml:space="preserve"> </w:t>
      </w:r>
      <w:hyperlink r:id="rId3" w:history="1">
        <w:r w:rsidRPr="00F10258">
          <w:rPr>
            <w:rStyle w:val="Hyperlink"/>
            <w:sz w:val="16"/>
            <w:szCs w:val="16"/>
          </w:rPr>
          <w:t>http://www.thegef.org/sites/default/files/council-meeting-documents/EN_GEF.C.54.Inf_.05_Guidance_Gender_0.pdf</w:t>
        </w:r>
      </w:hyperlink>
      <w:r w:rsidRPr="00F10258">
        <w:rPr>
          <w:sz w:val="16"/>
          <w:szCs w:val="16"/>
        </w:rPr>
        <w:t xml:space="preserve"> </w:t>
      </w:r>
    </w:p>
  </w:footnote>
  <w:footnote w:id="7">
    <w:p w14:paraId="7F2C0861" w14:textId="77777777" w:rsidR="00FE5C31" w:rsidRPr="0003763F" w:rsidRDefault="00FE5C31" w:rsidP="00061B53">
      <w:pPr>
        <w:pStyle w:val="FootnoteText"/>
        <w:rPr>
          <w:rFonts w:ascii="Calibri" w:hAnsi="Calibri" w:cs="Segoe UI"/>
          <w:color w:val="000000"/>
          <w:szCs w:val="18"/>
        </w:rPr>
      </w:pPr>
      <w:r w:rsidRPr="0003763F">
        <w:rPr>
          <w:rStyle w:val="FootnoteReference"/>
          <w:rFonts w:ascii="Calibri" w:hAnsi="Calibri"/>
          <w:szCs w:val="18"/>
        </w:rPr>
        <w:footnoteRef/>
      </w:r>
      <w:r w:rsidRPr="0003763F">
        <w:rPr>
          <w:rFonts w:ascii="Calibri" w:hAnsi="Calibri"/>
          <w:szCs w:val="18"/>
        </w:rPr>
        <w:t xml:space="preserve"> See </w:t>
      </w:r>
      <w:hyperlink r:id="rId4" w:history="1">
        <w:r w:rsidRPr="0003763F">
          <w:rPr>
            <w:rStyle w:val="Hyperlink"/>
            <w:rFonts w:ascii="Calibri" w:hAnsi="Calibri" w:cs="Segoe UI"/>
            <w:szCs w:val="18"/>
          </w:rPr>
          <w:t>https://www.thegef.org/gef/policies_guidelines</w:t>
        </w:r>
      </w:hyperlink>
    </w:p>
  </w:footnote>
  <w:footnote w:id="8">
    <w:p w14:paraId="574A72CA" w14:textId="77777777" w:rsidR="00FE5C31" w:rsidRPr="00AD6A9D" w:rsidRDefault="00FE5C31" w:rsidP="001354E3">
      <w:pPr>
        <w:pStyle w:val="FootnoteText"/>
        <w:jc w:val="left"/>
        <w:rPr>
          <w:rFonts w:ascii="Calibri" w:hAnsi="Calibri"/>
          <w:szCs w:val="18"/>
        </w:rPr>
      </w:pPr>
      <w:r w:rsidRPr="00AD6A9D">
        <w:rPr>
          <w:rStyle w:val="FootnoteReference"/>
          <w:rFonts w:ascii="Calibri" w:hAnsi="Calibri"/>
          <w:szCs w:val="18"/>
        </w:rPr>
        <w:footnoteRef/>
      </w:r>
      <w:r w:rsidRPr="00AD6A9D">
        <w:rPr>
          <w:rFonts w:ascii="Calibri" w:hAnsi="Calibri"/>
          <w:szCs w:val="18"/>
        </w:rPr>
        <w:t xml:space="preserve"> See </w:t>
      </w:r>
      <w:r w:rsidRPr="00AD6A9D">
        <w:rPr>
          <w:rFonts w:ascii="Calibri" w:hAnsi="Calibri" w:cs="Segoe UI"/>
          <w:color w:val="000000"/>
          <w:szCs w:val="18"/>
        </w:rPr>
        <w:t>http://www.undp.org/content/undp/en/home/operations/transparency/information_disclosurepolicy/</w:t>
      </w:r>
    </w:p>
  </w:footnote>
  <w:footnote w:id="9">
    <w:p w14:paraId="5E228B78" w14:textId="77777777" w:rsidR="00FE5C31" w:rsidRPr="00AD6A9D" w:rsidRDefault="00FE5C31" w:rsidP="001354E3">
      <w:pPr>
        <w:pStyle w:val="FootnoteText"/>
        <w:rPr>
          <w:rFonts w:ascii="Calibri" w:hAnsi="Calibri"/>
          <w:szCs w:val="18"/>
        </w:rPr>
      </w:pPr>
      <w:r w:rsidRPr="00AD6A9D">
        <w:rPr>
          <w:rStyle w:val="FootnoteReference"/>
          <w:rFonts w:ascii="Calibri" w:hAnsi="Calibri"/>
          <w:szCs w:val="18"/>
        </w:rPr>
        <w:footnoteRef/>
      </w:r>
      <w:r w:rsidRPr="00AD6A9D">
        <w:rPr>
          <w:rFonts w:ascii="Calibri" w:hAnsi="Calibri"/>
          <w:szCs w:val="18"/>
        </w:rPr>
        <w:t xml:space="preserve"> See </w:t>
      </w:r>
      <w:r w:rsidRPr="00AD6A9D">
        <w:rPr>
          <w:rFonts w:ascii="Calibri" w:hAnsi="Calibri" w:cs="Segoe UI"/>
          <w:color w:val="000000"/>
          <w:szCs w:val="18"/>
        </w:rPr>
        <w:t>https://www.thegef.org/gef/policies_guidelines</w:t>
      </w:r>
    </w:p>
  </w:footnote>
  <w:footnote w:id="10">
    <w:p w14:paraId="081B1BDD" w14:textId="77777777" w:rsidR="00FE5C31" w:rsidRPr="003174B4" w:rsidRDefault="00FE5C31" w:rsidP="001354E3">
      <w:pPr>
        <w:pStyle w:val="FootnoteText"/>
        <w:jc w:val="left"/>
      </w:pPr>
      <w:r w:rsidRPr="003174B4">
        <w:rPr>
          <w:rStyle w:val="FootnoteReference"/>
          <w:rFonts w:asciiTheme="minorHAnsi" w:hAnsiTheme="minorHAnsi"/>
          <w:vertAlign w:val="baseline"/>
        </w:rPr>
        <w:footnoteRef/>
      </w:r>
      <w:r w:rsidRPr="003174B4">
        <w:t xml:space="preserve"> See </w:t>
      </w:r>
      <w:hyperlink r:id="rId5" w:history="1">
        <w:r w:rsidRPr="003174B4">
          <w:rPr>
            <w:rStyle w:val="Hyperlink"/>
            <w:color w:val="auto"/>
            <w:u w:val="none"/>
          </w:rPr>
          <w:t>https://popp.undp.org/_layouts/15/WopiFrame.aspx?sourcedoc=/UNDP_POPP_DOCUMENT_LIBRARY/Public/PPM_Project%20Management_Closing.docx&amp;action=default</w:t>
        </w:r>
      </w:hyperlink>
      <w:r w:rsidRPr="003174B4">
        <w:t xml:space="preserve">. </w:t>
      </w:r>
    </w:p>
  </w:footnote>
  <w:footnote w:id="11">
    <w:p w14:paraId="179CA480" w14:textId="77777777" w:rsidR="00FE5C31" w:rsidRPr="009D08C5" w:rsidRDefault="00FE5C31" w:rsidP="00C46676">
      <w:pPr>
        <w:pStyle w:val="FootnoteText"/>
        <w:rPr>
          <w:rFonts w:ascii="Calibri" w:hAnsi="Calibri"/>
          <w:sz w:val="16"/>
          <w:szCs w:val="16"/>
        </w:rPr>
      </w:pPr>
      <w:r w:rsidRPr="009D08C5">
        <w:rPr>
          <w:rStyle w:val="FootnoteReference"/>
          <w:rFonts w:ascii="Calibri" w:hAnsi="Calibri"/>
          <w:sz w:val="16"/>
          <w:szCs w:val="16"/>
        </w:rPr>
        <w:footnoteRef/>
      </w:r>
      <w:r w:rsidRPr="009D08C5">
        <w:rPr>
          <w:rFonts w:ascii="Calibri" w:hAnsi="Calibri"/>
          <w:sz w:val="16"/>
          <w:szCs w:val="16"/>
        </w:rPr>
        <w:t xml:space="preserve"> </w:t>
      </w:r>
      <w:r>
        <w:rPr>
          <w:rFonts w:ascii="Calibri" w:hAnsi="Calibri"/>
          <w:sz w:val="16"/>
          <w:szCs w:val="16"/>
        </w:rPr>
        <w:t>Data collection methods should outline specific tools used to collect data and additional information as necessary to support monitoring. The PIR cannot be used as a source of verification.</w:t>
      </w:r>
    </w:p>
  </w:footnote>
  <w:footnote w:id="12">
    <w:p w14:paraId="4015C422" w14:textId="77777777" w:rsidR="00FE5C31" w:rsidRDefault="00FE5C31" w:rsidP="00676623">
      <w:r w:rsidRPr="007D753D">
        <w:rPr>
          <w:rStyle w:val="FootnoteReference"/>
          <w:sz w:val="16"/>
          <w:szCs w:val="16"/>
        </w:rPr>
        <w:footnoteRef/>
      </w:r>
      <w:r w:rsidRPr="007D753D">
        <w:rPr>
          <w:sz w:val="16"/>
          <w:szCs w:val="16"/>
        </w:rPr>
        <w:t xml:space="preserve"> </w:t>
      </w:r>
      <w:hyperlink r:id="rId6" w:history="1">
        <w:r w:rsidRPr="007D753D">
          <w:rPr>
            <w:rStyle w:val="Hyperlink"/>
            <w:sz w:val="16"/>
            <w:szCs w:val="16"/>
          </w:rPr>
          <w:t>https://www.un.org/womenwatch/daw/cedaw/</w:t>
        </w:r>
      </w:hyperlink>
    </w:p>
  </w:footnote>
  <w:footnote w:id="13">
    <w:p w14:paraId="1E1231BC" w14:textId="77777777" w:rsidR="00FE5C31" w:rsidRDefault="00FE5C31" w:rsidP="00676623">
      <w:pPr>
        <w:pStyle w:val="FootnoteText"/>
      </w:pPr>
      <w:r w:rsidRPr="007D753D">
        <w:rPr>
          <w:rStyle w:val="FootnoteReference"/>
          <w:szCs w:val="16"/>
        </w:rPr>
        <w:footnoteRef/>
      </w:r>
      <w:r w:rsidRPr="007D753D">
        <w:rPr>
          <w:szCs w:val="16"/>
        </w:rPr>
        <w:t xml:space="preserve">  Articles 7.5 and 11.2 of the Paris Agreement</w:t>
      </w:r>
    </w:p>
  </w:footnote>
  <w:footnote w:id="14">
    <w:p w14:paraId="7303E65E" w14:textId="77777777" w:rsidR="00FE5C31" w:rsidRDefault="00FE5C31" w:rsidP="00676623">
      <w:r w:rsidRPr="007D753D">
        <w:rPr>
          <w:rStyle w:val="FootnoteReference"/>
          <w:sz w:val="16"/>
          <w:szCs w:val="16"/>
        </w:rPr>
        <w:footnoteRef/>
      </w:r>
      <w:r w:rsidRPr="007D753D">
        <w:rPr>
          <w:sz w:val="16"/>
          <w:szCs w:val="16"/>
        </w:rPr>
        <w:t xml:space="preserve"> Gender Mainstreaming into Climate Transparency and Measurement, Reporting and Verification (MRV) 2017-2020: Results of GSP Pilot in Western Balkan Countries (Albania, Bosnia and Herzegovina, North Macedonia, Montenegro and Serbia) and Lebanon. - Global Support Program, 2020, available online: </w:t>
      </w:r>
      <w:hyperlink r:id="rId7" w:history="1">
        <w:r w:rsidRPr="007D753D">
          <w:rPr>
            <w:rStyle w:val="Hyperlink"/>
            <w:sz w:val="16"/>
            <w:szCs w:val="16"/>
          </w:rPr>
          <w:t>https://www.un-gsp.org/sites/default/files/documentos/gender_mainstreaming_climate_transparency_mrv_gsp_pilot_western_balkan.pdf</w:t>
        </w:r>
      </w:hyperlink>
      <w:r w:rsidRPr="007D753D">
        <w:rPr>
          <w:sz w:val="16"/>
          <w:szCs w:val="16"/>
        </w:rPr>
        <w:t xml:space="preserve"> </w:t>
      </w:r>
    </w:p>
  </w:footnote>
  <w:footnote w:id="15">
    <w:p w14:paraId="77A98E65" w14:textId="77777777" w:rsidR="00FE5C31" w:rsidRDefault="00FE5C31" w:rsidP="00676623">
      <w:pPr>
        <w:pStyle w:val="FootnoteText"/>
      </w:pPr>
      <w:r w:rsidRPr="007D753D">
        <w:rPr>
          <w:rStyle w:val="FootnoteReference"/>
          <w:szCs w:val="16"/>
        </w:rPr>
        <w:footnoteRef/>
      </w:r>
      <w:r w:rsidRPr="007D753D">
        <w:rPr>
          <w:szCs w:val="16"/>
        </w:rPr>
        <w:t xml:space="preserve"> Ms. Danijela </w:t>
      </w:r>
      <w:r>
        <w:rPr>
          <w:szCs w:val="16"/>
        </w:rPr>
        <w:t>Čabarkapa</w:t>
      </w:r>
    </w:p>
  </w:footnote>
  <w:footnote w:id="16">
    <w:p w14:paraId="3EC8A869" w14:textId="77777777" w:rsidR="00FE5C31" w:rsidRDefault="00FE5C31" w:rsidP="00676623">
      <w:pPr>
        <w:pStyle w:val="FootnoteText"/>
      </w:pPr>
      <w:r>
        <w:rPr>
          <w:rStyle w:val="FootnoteReference"/>
        </w:rPr>
        <w:footnoteRef/>
      </w:r>
      <w:r>
        <w:t xml:space="preserve"> </w:t>
      </w:r>
      <w:r w:rsidRPr="002D7864">
        <w:t xml:space="preserve">The Capacity Building Initiative for Transparency - CBIT - is a new project </w:t>
      </w:r>
      <w:r>
        <w:t xml:space="preserve">currently </w:t>
      </w:r>
      <w:r w:rsidRPr="002D7864">
        <w:t xml:space="preserve">under consideration by donors. The project will be led by the </w:t>
      </w:r>
      <w:r>
        <w:t>Ministry of Ecology, Spatial Planning and Urbanism</w:t>
      </w:r>
      <w:r w:rsidRPr="002D7864">
        <w:t xml:space="preserve"> - Directorate for Climate Change, and it</w:t>
      </w:r>
      <w:r>
        <w:t xml:space="preserve"> envisages </w:t>
      </w:r>
      <w:r w:rsidRPr="002D7864">
        <w:t>collect</w:t>
      </w:r>
      <w:r>
        <w:t>ion of</w:t>
      </w:r>
      <w:r w:rsidRPr="002D7864">
        <w:t xml:space="preserve"> new data.</w:t>
      </w:r>
    </w:p>
  </w:footnote>
  <w:footnote w:id="17">
    <w:p w14:paraId="4E29F2DB" w14:textId="77777777" w:rsidR="00FE5C31" w:rsidRDefault="00FE5C31" w:rsidP="00A0080F">
      <w:pPr>
        <w:pStyle w:val="FootnoteText"/>
      </w:pPr>
      <w:r>
        <w:rPr>
          <w:rStyle w:val="FootnoteReference"/>
        </w:rPr>
        <w:footnoteRef/>
      </w:r>
      <w:r w:rsidRPr="007613DB">
        <w:t xml:space="preserve"> IPCC (2006). Methodological Choice and Identification of Key Categories. Volume 1 - General Guidance and Reporting, Chapter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1B88" w14:textId="77777777" w:rsidR="00FE5C31" w:rsidRPr="00DA7980" w:rsidRDefault="00FE5C31" w:rsidP="00DA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09B"/>
    <w:multiLevelType w:val="hybridMultilevel"/>
    <w:tmpl w:val="DC368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E4D85"/>
    <w:multiLevelType w:val="multilevel"/>
    <w:tmpl w:val="4294A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1657A"/>
    <w:multiLevelType w:val="hybridMultilevel"/>
    <w:tmpl w:val="97D417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23D56"/>
    <w:multiLevelType w:val="hybridMultilevel"/>
    <w:tmpl w:val="845E7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636016"/>
    <w:multiLevelType w:val="hybridMultilevel"/>
    <w:tmpl w:val="F60A83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C79EC"/>
    <w:multiLevelType w:val="hybridMultilevel"/>
    <w:tmpl w:val="41EEB556"/>
    <w:lvl w:ilvl="0" w:tplc="87CAC2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E1693"/>
    <w:multiLevelType w:val="hybridMultilevel"/>
    <w:tmpl w:val="59AC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77A5"/>
    <w:multiLevelType w:val="hybridMultilevel"/>
    <w:tmpl w:val="A976AB9A"/>
    <w:lvl w:ilvl="0" w:tplc="9DB00120">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265FF3"/>
    <w:multiLevelType w:val="hybridMultilevel"/>
    <w:tmpl w:val="53DC8CBE"/>
    <w:lvl w:ilvl="0" w:tplc="84AAE4B8">
      <w:start w:val="14"/>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200EE9"/>
    <w:multiLevelType w:val="multilevel"/>
    <w:tmpl w:val="659CA9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61716A"/>
    <w:multiLevelType w:val="hybridMultilevel"/>
    <w:tmpl w:val="D2128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E94B84"/>
    <w:multiLevelType w:val="hybridMultilevel"/>
    <w:tmpl w:val="92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27713"/>
    <w:multiLevelType w:val="multilevel"/>
    <w:tmpl w:val="EB70CB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4E62A2"/>
    <w:multiLevelType w:val="multilevel"/>
    <w:tmpl w:val="4D40E2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7714C9"/>
    <w:multiLevelType w:val="hybridMultilevel"/>
    <w:tmpl w:val="7CA8ACA6"/>
    <w:lvl w:ilvl="0" w:tplc="0409000F">
      <w:start w:val="1"/>
      <w:numFmt w:val="decimal"/>
      <w:lvlText w:val="%1."/>
      <w:lvlJc w:val="left"/>
      <w:pPr>
        <w:ind w:left="720" w:hanging="360"/>
      </w:pPr>
      <w:rPr>
        <w:rFonts w:hint="default"/>
      </w:rPr>
    </w:lvl>
    <w:lvl w:ilvl="1" w:tplc="E0DA9686">
      <w:numFmt w:val="bullet"/>
      <w:lvlText w:val="•"/>
      <w:lvlJc w:val="left"/>
      <w:pPr>
        <w:ind w:left="1800" w:hanging="720"/>
      </w:pPr>
      <w:rPr>
        <w:rFonts w:ascii="Calibri" w:eastAsia="SimSu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B6B24"/>
    <w:multiLevelType w:val="hybridMultilevel"/>
    <w:tmpl w:val="AF9E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87E9B"/>
    <w:multiLevelType w:val="hybridMultilevel"/>
    <w:tmpl w:val="8FB8267E"/>
    <w:lvl w:ilvl="0" w:tplc="61C0599E">
      <w:start w:val="1"/>
      <w:numFmt w:val="decimal"/>
      <w:pStyle w:val="Normal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34579"/>
    <w:multiLevelType w:val="hybridMultilevel"/>
    <w:tmpl w:val="EB06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D2C81"/>
    <w:multiLevelType w:val="hybridMultilevel"/>
    <w:tmpl w:val="0CA0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86CE7"/>
    <w:multiLevelType w:val="hybridMultilevel"/>
    <w:tmpl w:val="63D09BE0"/>
    <w:lvl w:ilvl="0" w:tplc="D400AD02">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B6FD3"/>
    <w:multiLevelType w:val="hybridMultilevel"/>
    <w:tmpl w:val="7DBA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3A59"/>
    <w:multiLevelType w:val="hybridMultilevel"/>
    <w:tmpl w:val="720CB0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BD411C"/>
    <w:multiLevelType w:val="hybridMultilevel"/>
    <w:tmpl w:val="DCC64DD6"/>
    <w:lvl w:ilvl="0" w:tplc="945E575A">
      <w:start w:val="1"/>
      <w:numFmt w:val="decimal"/>
      <w:pStyle w:val="NumberedParasPIF"/>
      <w:lvlText w:val="%1. "/>
      <w:lvlJc w:val="left"/>
      <w:pPr>
        <w:ind w:left="75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90003">
      <w:start w:val="1"/>
      <w:numFmt w:val="lowerLetter"/>
      <w:lvlText w:val="%2."/>
      <w:lvlJc w:val="left"/>
      <w:pPr>
        <w:ind w:left="8685" w:hanging="360"/>
      </w:pPr>
    </w:lvl>
    <w:lvl w:ilvl="2" w:tplc="08090005" w:tentative="1">
      <w:start w:val="1"/>
      <w:numFmt w:val="lowerRoman"/>
      <w:lvlText w:val="%3."/>
      <w:lvlJc w:val="right"/>
      <w:pPr>
        <w:ind w:left="9405" w:hanging="180"/>
      </w:pPr>
    </w:lvl>
    <w:lvl w:ilvl="3" w:tplc="08090001" w:tentative="1">
      <w:start w:val="1"/>
      <w:numFmt w:val="decimal"/>
      <w:lvlText w:val="%4."/>
      <w:lvlJc w:val="left"/>
      <w:pPr>
        <w:ind w:left="10125" w:hanging="360"/>
      </w:pPr>
    </w:lvl>
    <w:lvl w:ilvl="4" w:tplc="08090003" w:tentative="1">
      <w:start w:val="1"/>
      <w:numFmt w:val="lowerLetter"/>
      <w:lvlText w:val="%5."/>
      <w:lvlJc w:val="left"/>
      <w:pPr>
        <w:ind w:left="10845" w:hanging="360"/>
      </w:pPr>
    </w:lvl>
    <w:lvl w:ilvl="5" w:tplc="08090005" w:tentative="1">
      <w:start w:val="1"/>
      <w:numFmt w:val="lowerRoman"/>
      <w:lvlText w:val="%6."/>
      <w:lvlJc w:val="right"/>
      <w:pPr>
        <w:ind w:left="11565" w:hanging="180"/>
      </w:pPr>
    </w:lvl>
    <w:lvl w:ilvl="6" w:tplc="08090001" w:tentative="1">
      <w:start w:val="1"/>
      <w:numFmt w:val="decimal"/>
      <w:lvlText w:val="%7."/>
      <w:lvlJc w:val="left"/>
      <w:pPr>
        <w:ind w:left="12285" w:hanging="360"/>
      </w:pPr>
    </w:lvl>
    <w:lvl w:ilvl="7" w:tplc="08090003" w:tentative="1">
      <w:start w:val="1"/>
      <w:numFmt w:val="lowerLetter"/>
      <w:lvlText w:val="%8."/>
      <w:lvlJc w:val="left"/>
      <w:pPr>
        <w:ind w:left="13005" w:hanging="360"/>
      </w:pPr>
    </w:lvl>
    <w:lvl w:ilvl="8" w:tplc="08090005" w:tentative="1">
      <w:start w:val="1"/>
      <w:numFmt w:val="lowerRoman"/>
      <w:lvlText w:val="%9."/>
      <w:lvlJc w:val="right"/>
      <w:pPr>
        <w:ind w:left="13725" w:hanging="180"/>
      </w:pPr>
    </w:lvl>
  </w:abstractNum>
  <w:abstractNum w:abstractNumId="33" w15:restartNumberingAfterBreak="0">
    <w:nsid w:val="55BB35FC"/>
    <w:multiLevelType w:val="hybridMultilevel"/>
    <w:tmpl w:val="70CA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004BC"/>
    <w:multiLevelType w:val="hybridMultilevel"/>
    <w:tmpl w:val="BBE6155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5D3C0D0F"/>
    <w:multiLevelType w:val="multilevel"/>
    <w:tmpl w:val="537E9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3271722"/>
    <w:multiLevelType w:val="hybridMultilevel"/>
    <w:tmpl w:val="4CD4F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44B5D"/>
    <w:multiLevelType w:val="hybridMultilevel"/>
    <w:tmpl w:val="DD2C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DA75D0"/>
    <w:multiLevelType w:val="hybridMultilevel"/>
    <w:tmpl w:val="00EA8C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69F764F2"/>
    <w:multiLevelType w:val="hybridMultilevel"/>
    <w:tmpl w:val="D5D6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D18F2"/>
    <w:multiLevelType w:val="hybridMultilevel"/>
    <w:tmpl w:val="D5EC53C6"/>
    <w:lvl w:ilvl="0" w:tplc="D8ACC5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81541"/>
    <w:multiLevelType w:val="hybridMultilevel"/>
    <w:tmpl w:val="7B82C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C5A6B99"/>
    <w:multiLevelType w:val="hybridMultilevel"/>
    <w:tmpl w:val="F6908140"/>
    <w:lvl w:ilvl="0" w:tplc="C7F0D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668CF"/>
    <w:multiLevelType w:val="hybridMultilevel"/>
    <w:tmpl w:val="4C6EAE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8305D90">
      <w:start w:val="10"/>
      <w:numFmt w:val="upperLetter"/>
      <w:lvlText w:val="%4."/>
      <w:lvlJc w:val="left"/>
      <w:pPr>
        <w:ind w:left="2520" w:hanging="360"/>
      </w:pPr>
      <w:rPr>
        <w:rFonts w:ascii="Calibri" w:hAnsi="Calibri"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9"/>
  </w:num>
  <w:num w:numId="4">
    <w:abstractNumId w:val="17"/>
  </w:num>
  <w:num w:numId="5">
    <w:abstractNumId w:val="8"/>
  </w:num>
  <w:num w:numId="6">
    <w:abstractNumId w:val="22"/>
  </w:num>
  <w:num w:numId="7">
    <w:abstractNumId w:val="43"/>
  </w:num>
  <w:num w:numId="8">
    <w:abstractNumId w:val="23"/>
  </w:num>
  <w:num w:numId="9">
    <w:abstractNumId w:val="7"/>
  </w:num>
  <w:num w:numId="10">
    <w:abstractNumId w:val="3"/>
  </w:num>
  <w:num w:numId="11">
    <w:abstractNumId w:val="0"/>
  </w:num>
  <w:num w:numId="12">
    <w:abstractNumId w:val="18"/>
  </w:num>
  <w:num w:numId="13">
    <w:abstractNumId w:val="24"/>
  </w:num>
  <w:num w:numId="14">
    <w:abstractNumId w:val="28"/>
  </w:num>
  <w:num w:numId="15">
    <w:abstractNumId w:val="30"/>
  </w:num>
  <w:num w:numId="16">
    <w:abstractNumId w:val="4"/>
  </w:num>
  <w:num w:numId="17">
    <w:abstractNumId w:val="26"/>
  </w:num>
  <w:num w:numId="18">
    <w:abstractNumId w:val="38"/>
  </w:num>
  <w:num w:numId="19">
    <w:abstractNumId w:val="45"/>
  </w:num>
  <w:num w:numId="20">
    <w:abstractNumId w:val="27"/>
  </w:num>
  <w:num w:numId="21">
    <w:abstractNumId w:val="29"/>
  </w:num>
  <w:num w:numId="22">
    <w:abstractNumId w:val="12"/>
  </w:num>
  <w:num w:numId="23">
    <w:abstractNumId w:val="9"/>
  </w:num>
  <w:num w:numId="24">
    <w:abstractNumId w:val="36"/>
  </w:num>
  <w:num w:numId="25">
    <w:abstractNumId w:val="31"/>
  </w:num>
  <w:num w:numId="26">
    <w:abstractNumId w:val="5"/>
  </w:num>
  <w:num w:numId="27">
    <w:abstractNumId w:val="32"/>
  </w:num>
  <w:num w:numId="28">
    <w:abstractNumId w:val="35"/>
  </w:num>
  <w:num w:numId="29">
    <w:abstractNumId w:val="19"/>
  </w:num>
  <w:num w:numId="30">
    <w:abstractNumId w:val="1"/>
  </w:num>
  <w:num w:numId="31">
    <w:abstractNumId w:val="13"/>
  </w:num>
  <w:num w:numId="32">
    <w:abstractNumId w:val="16"/>
  </w:num>
  <w:num w:numId="33">
    <w:abstractNumId w:val="20"/>
  </w:num>
  <w:num w:numId="34">
    <w:abstractNumId w:val="42"/>
  </w:num>
  <w:num w:numId="35">
    <w:abstractNumId w:val="44"/>
  </w:num>
  <w:num w:numId="36">
    <w:abstractNumId w:val="34"/>
  </w:num>
  <w:num w:numId="37">
    <w:abstractNumId w:val="1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1"/>
  </w:num>
  <w:num w:numId="41">
    <w:abstractNumId w:val="40"/>
  </w:num>
  <w:num w:numId="42">
    <w:abstractNumId w:val="25"/>
  </w:num>
  <w:num w:numId="43">
    <w:abstractNumId w:val="21"/>
  </w:num>
  <w:num w:numId="44">
    <w:abstractNumId w:val="37"/>
  </w:num>
  <w:num w:numId="45">
    <w:abstractNumId w:val="10"/>
  </w:num>
  <w:num w:numId="46">
    <w:abstractNumId w:val="33"/>
  </w:num>
  <w:num w:numId="4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10"/>
  <w:displayHorizontalDrawingGridEvery w:val="2"/>
  <w:noPunctuationKerning/>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081D"/>
    <w:rsid w:val="00000CA8"/>
    <w:rsid w:val="00000FCD"/>
    <w:rsid w:val="000019F5"/>
    <w:rsid w:val="00001D86"/>
    <w:rsid w:val="0000278F"/>
    <w:rsid w:val="00002A5F"/>
    <w:rsid w:val="00002CC1"/>
    <w:rsid w:val="00002CE3"/>
    <w:rsid w:val="00002FE5"/>
    <w:rsid w:val="00003496"/>
    <w:rsid w:val="00003C72"/>
    <w:rsid w:val="00004157"/>
    <w:rsid w:val="00004A84"/>
    <w:rsid w:val="00004AD0"/>
    <w:rsid w:val="00005125"/>
    <w:rsid w:val="00005456"/>
    <w:rsid w:val="000055CE"/>
    <w:rsid w:val="000057AA"/>
    <w:rsid w:val="00005845"/>
    <w:rsid w:val="0000586A"/>
    <w:rsid w:val="00005D48"/>
    <w:rsid w:val="0000683B"/>
    <w:rsid w:val="000075A3"/>
    <w:rsid w:val="000077F2"/>
    <w:rsid w:val="00007B01"/>
    <w:rsid w:val="000101B0"/>
    <w:rsid w:val="000107D3"/>
    <w:rsid w:val="0001093E"/>
    <w:rsid w:val="00010D4B"/>
    <w:rsid w:val="00010E68"/>
    <w:rsid w:val="00011183"/>
    <w:rsid w:val="0001134C"/>
    <w:rsid w:val="0001168F"/>
    <w:rsid w:val="00011819"/>
    <w:rsid w:val="000122EA"/>
    <w:rsid w:val="000125B2"/>
    <w:rsid w:val="00012692"/>
    <w:rsid w:val="000131D9"/>
    <w:rsid w:val="00013523"/>
    <w:rsid w:val="00013ADE"/>
    <w:rsid w:val="000142E1"/>
    <w:rsid w:val="000148C7"/>
    <w:rsid w:val="00015653"/>
    <w:rsid w:val="00015860"/>
    <w:rsid w:val="00015B6A"/>
    <w:rsid w:val="00015E4B"/>
    <w:rsid w:val="00016649"/>
    <w:rsid w:val="000177F6"/>
    <w:rsid w:val="000177FB"/>
    <w:rsid w:val="00017BFE"/>
    <w:rsid w:val="00017D90"/>
    <w:rsid w:val="000205AF"/>
    <w:rsid w:val="00020AA0"/>
    <w:rsid w:val="00021004"/>
    <w:rsid w:val="00021238"/>
    <w:rsid w:val="000217F5"/>
    <w:rsid w:val="000219AC"/>
    <w:rsid w:val="00021B90"/>
    <w:rsid w:val="00022401"/>
    <w:rsid w:val="000224C8"/>
    <w:rsid w:val="0002252F"/>
    <w:rsid w:val="000225BF"/>
    <w:rsid w:val="00022DE9"/>
    <w:rsid w:val="000230A3"/>
    <w:rsid w:val="00023435"/>
    <w:rsid w:val="000234A8"/>
    <w:rsid w:val="000234FE"/>
    <w:rsid w:val="00023900"/>
    <w:rsid w:val="00023A76"/>
    <w:rsid w:val="00023B58"/>
    <w:rsid w:val="00023C29"/>
    <w:rsid w:val="00024142"/>
    <w:rsid w:val="00024495"/>
    <w:rsid w:val="0002489D"/>
    <w:rsid w:val="00024A75"/>
    <w:rsid w:val="00024AD4"/>
    <w:rsid w:val="00025012"/>
    <w:rsid w:val="0002530B"/>
    <w:rsid w:val="00025C9A"/>
    <w:rsid w:val="00025E57"/>
    <w:rsid w:val="000260FF"/>
    <w:rsid w:val="00026455"/>
    <w:rsid w:val="0002661F"/>
    <w:rsid w:val="000266D2"/>
    <w:rsid w:val="00027A6B"/>
    <w:rsid w:val="00030007"/>
    <w:rsid w:val="0003122B"/>
    <w:rsid w:val="00031A41"/>
    <w:rsid w:val="00031E16"/>
    <w:rsid w:val="00031E84"/>
    <w:rsid w:val="0003214C"/>
    <w:rsid w:val="00032241"/>
    <w:rsid w:val="00032E37"/>
    <w:rsid w:val="00033828"/>
    <w:rsid w:val="00033869"/>
    <w:rsid w:val="00033EB5"/>
    <w:rsid w:val="00033F65"/>
    <w:rsid w:val="000341EA"/>
    <w:rsid w:val="00034508"/>
    <w:rsid w:val="000348DE"/>
    <w:rsid w:val="00034B29"/>
    <w:rsid w:val="0003544E"/>
    <w:rsid w:val="00035830"/>
    <w:rsid w:val="00035D96"/>
    <w:rsid w:val="0003646E"/>
    <w:rsid w:val="00036804"/>
    <w:rsid w:val="00036A5C"/>
    <w:rsid w:val="00036F60"/>
    <w:rsid w:val="0003763F"/>
    <w:rsid w:val="000377AB"/>
    <w:rsid w:val="0003782E"/>
    <w:rsid w:val="00037A3E"/>
    <w:rsid w:val="00037E21"/>
    <w:rsid w:val="00040511"/>
    <w:rsid w:val="00040B34"/>
    <w:rsid w:val="00041B17"/>
    <w:rsid w:val="00041E0C"/>
    <w:rsid w:val="00041FE0"/>
    <w:rsid w:val="00042BB9"/>
    <w:rsid w:val="00042E20"/>
    <w:rsid w:val="00043249"/>
    <w:rsid w:val="0004344E"/>
    <w:rsid w:val="000438C6"/>
    <w:rsid w:val="00043A4B"/>
    <w:rsid w:val="00043EBA"/>
    <w:rsid w:val="000440F9"/>
    <w:rsid w:val="00044177"/>
    <w:rsid w:val="00044298"/>
    <w:rsid w:val="0004450C"/>
    <w:rsid w:val="000445AD"/>
    <w:rsid w:val="00044654"/>
    <w:rsid w:val="00044655"/>
    <w:rsid w:val="00044883"/>
    <w:rsid w:val="00044B8D"/>
    <w:rsid w:val="00044BD9"/>
    <w:rsid w:val="00044FDD"/>
    <w:rsid w:val="000459A0"/>
    <w:rsid w:val="000464F1"/>
    <w:rsid w:val="00046804"/>
    <w:rsid w:val="00046CF8"/>
    <w:rsid w:val="0004759E"/>
    <w:rsid w:val="000477B7"/>
    <w:rsid w:val="00047973"/>
    <w:rsid w:val="00050021"/>
    <w:rsid w:val="00050658"/>
    <w:rsid w:val="000509F3"/>
    <w:rsid w:val="00050D84"/>
    <w:rsid w:val="00051206"/>
    <w:rsid w:val="0005135E"/>
    <w:rsid w:val="0005159D"/>
    <w:rsid w:val="00051A25"/>
    <w:rsid w:val="00051A7A"/>
    <w:rsid w:val="00051FFB"/>
    <w:rsid w:val="0005232E"/>
    <w:rsid w:val="00052984"/>
    <w:rsid w:val="00052EF5"/>
    <w:rsid w:val="000533D2"/>
    <w:rsid w:val="00053494"/>
    <w:rsid w:val="0005351F"/>
    <w:rsid w:val="0005378F"/>
    <w:rsid w:val="000540EE"/>
    <w:rsid w:val="0005435C"/>
    <w:rsid w:val="00054895"/>
    <w:rsid w:val="000548D9"/>
    <w:rsid w:val="000549A0"/>
    <w:rsid w:val="00054B0C"/>
    <w:rsid w:val="00054EB2"/>
    <w:rsid w:val="0005530F"/>
    <w:rsid w:val="00055372"/>
    <w:rsid w:val="000556B9"/>
    <w:rsid w:val="000556CB"/>
    <w:rsid w:val="0005571B"/>
    <w:rsid w:val="00055972"/>
    <w:rsid w:val="00055AC7"/>
    <w:rsid w:val="00055F28"/>
    <w:rsid w:val="00056113"/>
    <w:rsid w:val="000561E4"/>
    <w:rsid w:val="00056567"/>
    <w:rsid w:val="000565AB"/>
    <w:rsid w:val="00056B16"/>
    <w:rsid w:val="00057360"/>
    <w:rsid w:val="000575CF"/>
    <w:rsid w:val="00057D7D"/>
    <w:rsid w:val="00057E03"/>
    <w:rsid w:val="00057F1E"/>
    <w:rsid w:val="0006004C"/>
    <w:rsid w:val="0006010A"/>
    <w:rsid w:val="0006041E"/>
    <w:rsid w:val="000608AA"/>
    <w:rsid w:val="00060D9A"/>
    <w:rsid w:val="00060E4F"/>
    <w:rsid w:val="00061536"/>
    <w:rsid w:val="00061B53"/>
    <w:rsid w:val="00062063"/>
    <w:rsid w:val="00062792"/>
    <w:rsid w:val="00062D2E"/>
    <w:rsid w:val="00062E78"/>
    <w:rsid w:val="00062F56"/>
    <w:rsid w:val="00063762"/>
    <w:rsid w:val="00063935"/>
    <w:rsid w:val="00063B77"/>
    <w:rsid w:val="00063D70"/>
    <w:rsid w:val="00063DD1"/>
    <w:rsid w:val="00063E7C"/>
    <w:rsid w:val="0006474F"/>
    <w:rsid w:val="000647A0"/>
    <w:rsid w:val="00064A5C"/>
    <w:rsid w:val="00064A64"/>
    <w:rsid w:val="00064BBE"/>
    <w:rsid w:val="0006562F"/>
    <w:rsid w:val="00066A40"/>
    <w:rsid w:val="00066A76"/>
    <w:rsid w:val="00066C4E"/>
    <w:rsid w:val="00066E5B"/>
    <w:rsid w:val="0006741E"/>
    <w:rsid w:val="0006793B"/>
    <w:rsid w:val="00067AB1"/>
    <w:rsid w:val="00067C2A"/>
    <w:rsid w:val="00067FC8"/>
    <w:rsid w:val="00070127"/>
    <w:rsid w:val="0007025D"/>
    <w:rsid w:val="0007034C"/>
    <w:rsid w:val="00070B1A"/>
    <w:rsid w:val="00070B4F"/>
    <w:rsid w:val="00070F9A"/>
    <w:rsid w:val="0007137A"/>
    <w:rsid w:val="000715AE"/>
    <w:rsid w:val="00071E65"/>
    <w:rsid w:val="00071F11"/>
    <w:rsid w:val="00072459"/>
    <w:rsid w:val="0007265A"/>
    <w:rsid w:val="00072768"/>
    <w:rsid w:val="000729D2"/>
    <w:rsid w:val="00072CB3"/>
    <w:rsid w:val="00072DC0"/>
    <w:rsid w:val="000734D7"/>
    <w:rsid w:val="000734EF"/>
    <w:rsid w:val="0007404F"/>
    <w:rsid w:val="00074763"/>
    <w:rsid w:val="0007479A"/>
    <w:rsid w:val="000748FE"/>
    <w:rsid w:val="00074B7D"/>
    <w:rsid w:val="00074D27"/>
    <w:rsid w:val="00075056"/>
    <w:rsid w:val="00075100"/>
    <w:rsid w:val="00075324"/>
    <w:rsid w:val="00075CD0"/>
    <w:rsid w:val="00075FD8"/>
    <w:rsid w:val="000761BB"/>
    <w:rsid w:val="000761BF"/>
    <w:rsid w:val="00077232"/>
    <w:rsid w:val="00077367"/>
    <w:rsid w:val="00077F20"/>
    <w:rsid w:val="00080BD1"/>
    <w:rsid w:val="00080DB3"/>
    <w:rsid w:val="00080EAA"/>
    <w:rsid w:val="000816B1"/>
    <w:rsid w:val="00081B5A"/>
    <w:rsid w:val="000824D6"/>
    <w:rsid w:val="00082B33"/>
    <w:rsid w:val="00082B40"/>
    <w:rsid w:val="00082E59"/>
    <w:rsid w:val="0008309A"/>
    <w:rsid w:val="00083698"/>
    <w:rsid w:val="00083CA8"/>
    <w:rsid w:val="000843F3"/>
    <w:rsid w:val="0008485F"/>
    <w:rsid w:val="00084C30"/>
    <w:rsid w:val="00084E2B"/>
    <w:rsid w:val="00085230"/>
    <w:rsid w:val="000867F9"/>
    <w:rsid w:val="00086D18"/>
    <w:rsid w:val="00086FA9"/>
    <w:rsid w:val="000902FD"/>
    <w:rsid w:val="00090966"/>
    <w:rsid w:val="00090A53"/>
    <w:rsid w:val="00090AF2"/>
    <w:rsid w:val="00090BF9"/>
    <w:rsid w:val="00090CD1"/>
    <w:rsid w:val="00090D3E"/>
    <w:rsid w:val="00090EB0"/>
    <w:rsid w:val="0009100C"/>
    <w:rsid w:val="0009107D"/>
    <w:rsid w:val="000915CD"/>
    <w:rsid w:val="000923DC"/>
    <w:rsid w:val="000938C2"/>
    <w:rsid w:val="0009424B"/>
    <w:rsid w:val="000944FE"/>
    <w:rsid w:val="00094981"/>
    <w:rsid w:val="00094E53"/>
    <w:rsid w:val="00095691"/>
    <w:rsid w:val="00095885"/>
    <w:rsid w:val="00095F6D"/>
    <w:rsid w:val="00096087"/>
    <w:rsid w:val="00096807"/>
    <w:rsid w:val="0009688F"/>
    <w:rsid w:val="00096B56"/>
    <w:rsid w:val="00096C29"/>
    <w:rsid w:val="00097017"/>
    <w:rsid w:val="000971A7"/>
    <w:rsid w:val="000973F9"/>
    <w:rsid w:val="00097632"/>
    <w:rsid w:val="000977CC"/>
    <w:rsid w:val="000978FA"/>
    <w:rsid w:val="00097A1E"/>
    <w:rsid w:val="00097F0F"/>
    <w:rsid w:val="00097F1A"/>
    <w:rsid w:val="00097F96"/>
    <w:rsid w:val="000A013F"/>
    <w:rsid w:val="000A024F"/>
    <w:rsid w:val="000A0289"/>
    <w:rsid w:val="000A0830"/>
    <w:rsid w:val="000A08E0"/>
    <w:rsid w:val="000A0B46"/>
    <w:rsid w:val="000A0E18"/>
    <w:rsid w:val="000A0F4C"/>
    <w:rsid w:val="000A1525"/>
    <w:rsid w:val="000A1533"/>
    <w:rsid w:val="000A20A2"/>
    <w:rsid w:val="000A21B8"/>
    <w:rsid w:val="000A2C62"/>
    <w:rsid w:val="000A2F7D"/>
    <w:rsid w:val="000A308B"/>
    <w:rsid w:val="000A3778"/>
    <w:rsid w:val="000A40F6"/>
    <w:rsid w:val="000A4287"/>
    <w:rsid w:val="000A44E4"/>
    <w:rsid w:val="000A4779"/>
    <w:rsid w:val="000A47FB"/>
    <w:rsid w:val="000A498F"/>
    <w:rsid w:val="000A4D7A"/>
    <w:rsid w:val="000A5086"/>
    <w:rsid w:val="000A5408"/>
    <w:rsid w:val="000A5C6D"/>
    <w:rsid w:val="000A5FFD"/>
    <w:rsid w:val="000A60FE"/>
    <w:rsid w:val="000A6186"/>
    <w:rsid w:val="000A6583"/>
    <w:rsid w:val="000A6A7D"/>
    <w:rsid w:val="000A6CEB"/>
    <w:rsid w:val="000A6D37"/>
    <w:rsid w:val="000A6EF8"/>
    <w:rsid w:val="000A74B2"/>
    <w:rsid w:val="000A798A"/>
    <w:rsid w:val="000A7ABD"/>
    <w:rsid w:val="000A7B8A"/>
    <w:rsid w:val="000B0FE0"/>
    <w:rsid w:val="000B14C7"/>
    <w:rsid w:val="000B16F0"/>
    <w:rsid w:val="000B1BA8"/>
    <w:rsid w:val="000B2393"/>
    <w:rsid w:val="000B36AF"/>
    <w:rsid w:val="000B3A46"/>
    <w:rsid w:val="000B3D40"/>
    <w:rsid w:val="000B3D4F"/>
    <w:rsid w:val="000B48A6"/>
    <w:rsid w:val="000B4C07"/>
    <w:rsid w:val="000B4E65"/>
    <w:rsid w:val="000B5072"/>
    <w:rsid w:val="000B508E"/>
    <w:rsid w:val="000B5523"/>
    <w:rsid w:val="000B5696"/>
    <w:rsid w:val="000B582A"/>
    <w:rsid w:val="000B5E17"/>
    <w:rsid w:val="000B6132"/>
    <w:rsid w:val="000B6775"/>
    <w:rsid w:val="000B69ED"/>
    <w:rsid w:val="000B6EBD"/>
    <w:rsid w:val="000C0415"/>
    <w:rsid w:val="000C06D6"/>
    <w:rsid w:val="000C06D7"/>
    <w:rsid w:val="000C10BC"/>
    <w:rsid w:val="000C1847"/>
    <w:rsid w:val="000C1D2C"/>
    <w:rsid w:val="000C2545"/>
    <w:rsid w:val="000C2571"/>
    <w:rsid w:val="000C2632"/>
    <w:rsid w:val="000C27AC"/>
    <w:rsid w:val="000C295E"/>
    <w:rsid w:val="000C352C"/>
    <w:rsid w:val="000C3D1A"/>
    <w:rsid w:val="000C3FF2"/>
    <w:rsid w:val="000C4354"/>
    <w:rsid w:val="000C4672"/>
    <w:rsid w:val="000C498C"/>
    <w:rsid w:val="000C4A02"/>
    <w:rsid w:val="000C4DDD"/>
    <w:rsid w:val="000C506D"/>
    <w:rsid w:val="000C533E"/>
    <w:rsid w:val="000C53C5"/>
    <w:rsid w:val="000C56C6"/>
    <w:rsid w:val="000C5C1D"/>
    <w:rsid w:val="000C5F12"/>
    <w:rsid w:val="000C66BF"/>
    <w:rsid w:val="000C6DF7"/>
    <w:rsid w:val="000C6F08"/>
    <w:rsid w:val="000C7202"/>
    <w:rsid w:val="000C7760"/>
    <w:rsid w:val="000C78C6"/>
    <w:rsid w:val="000D00F9"/>
    <w:rsid w:val="000D048C"/>
    <w:rsid w:val="000D05BB"/>
    <w:rsid w:val="000D0818"/>
    <w:rsid w:val="000D0ABB"/>
    <w:rsid w:val="000D0FD6"/>
    <w:rsid w:val="000D11EC"/>
    <w:rsid w:val="000D1449"/>
    <w:rsid w:val="000D1E42"/>
    <w:rsid w:val="000D1EE9"/>
    <w:rsid w:val="000D285B"/>
    <w:rsid w:val="000D2A72"/>
    <w:rsid w:val="000D2A90"/>
    <w:rsid w:val="000D2DF2"/>
    <w:rsid w:val="000D2E10"/>
    <w:rsid w:val="000D3449"/>
    <w:rsid w:val="000D398D"/>
    <w:rsid w:val="000D3D7D"/>
    <w:rsid w:val="000D41A1"/>
    <w:rsid w:val="000D4231"/>
    <w:rsid w:val="000D43BE"/>
    <w:rsid w:val="000D451E"/>
    <w:rsid w:val="000D45C5"/>
    <w:rsid w:val="000D45FB"/>
    <w:rsid w:val="000D4930"/>
    <w:rsid w:val="000D4E89"/>
    <w:rsid w:val="000D5052"/>
    <w:rsid w:val="000D5385"/>
    <w:rsid w:val="000D6334"/>
    <w:rsid w:val="000D643F"/>
    <w:rsid w:val="000D65C1"/>
    <w:rsid w:val="000D6D77"/>
    <w:rsid w:val="000D7AC5"/>
    <w:rsid w:val="000E053E"/>
    <w:rsid w:val="000E072D"/>
    <w:rsid w:val="000E089B"/>
    <w:rsid w:val="000E0CA4"/>
    <w:rsid w:val="000E0DAD"/>
    <w:rsid w:val="000E1C96"/>
    <w:rsid w:val="000E2363"/>
    <w:rsid w:val="000E2CEB"/>
    <w:rsid w:val="000E3117"/>
    <w:rsid w:val="000E3178"/>
    <w:rsid w:val="000E33DF"/>
    <w:rsid w:val="000E3C19"/>
    <w:rsid w:val="000E3CBE"/>
    <w:rsid w:val="000E506E"/>
    <w:rsid w:val="000E586B"/>
    <w:rsid w:val="000E5B28"/>
    <w:rsid w:val="000E6178"/>
    <w:rsid w:val="000E6481"/>
    <w:rsid w:val="000E6550"/>
    <w:rsid w:val="000E6707"/>
    <w:rsid w:val="000E6930"/>
    <w:rsid w:val="000E7595"/>
    <w:rsid w:val="000E7618"/>
    <w:rsid w:val="000E7AD0"/>
    <w:rsid w:val="000F08D7"/>
    <w:rsid w:val="000F0E78"/>
    <w:rsid w:val="000F1149"/>
    <w:rsid w:val="000F17C2"/>
    <w:rsid w:val="000F1A04"/>
    <w:rsid w:val="000F1BDB"/>
    <w:rsid w:val="000F2065"/>
    <w:rsid w:val="000F225E"/>
    <w:rsid w:val="000F285D"/>
    <w:rsid w:val="000F2B73"/>
    <w:rsid w:val="000F2C3A"/>
    <w:rsid w:val="000F3057"/>
    <w:rsid w:val="000F32EE"/>
    <w:rsid w:val="000F3503"/>
    <w:rsid w:val="000F384F"/>
    <w:rsid w:val="000F3BFC"/>
    <w:rsid w:val="000F4082"/>
    <w:rsid w:val="000F41B2"/>
    <w:rsid w:val="000F4475"/>
    <w:rsid w:val="000F468D"/>
    <w:rsid w:val="000F477E"/>
    <w:rsid w:val="000F4A0A"/>
    <w:rsid w:val="000F51C9"/>
    <w:rsid w:val="000F55A3"/>
    <w:rsid w:val="000F5802"/>
    <w:rsid w:val="000F5920"/>
    <w:rsid w:val="000F5CDD"/>
    <w:rsid w:val="000F5DE0"/>
    <w:rsid w:val="000F615E"/>
    <w:rsid w:val="000F6317"/>
    <w:rsid w:val="000F635E"/>
    <w:rsid w:val="000F64F0"/>
    <w:rsid w:val="000F6504"/>
    <w:rsid w:val="000F6944"/>
    <w:rsid w:val="000F6AFE"/>
    <w:rsid w:val="000F797F"/>
    <w:rsid w:val="001003F0"/>
    <w:rsid w:val="0010065E"/>
    <w:rsid w:val="00100B66"/>
    <w:rsid w:val="0010116A"/>
    <w:rsid w:val="001011C4"/>
    <w:rsid w:val="00101F60"/>
    <w:rsid w:val="00102C1E"/>
    <w:rsid w:val="00103DC8"/>
    <w:rsid w:val="00103E01"/>
    <w:rsid w:val="001047C6"/>
    <w:rsid w:val="001053A8"/>
    <w:rsid w:val="00105D4D"/>
    <w:rsid w:val="00105EF0"/>
    <w:rsid w:val="001060F5"/>
    <w:rsid w:val="001068EA"/>
    <w:rsid w:val="00106D42"/>
    <w:rsid w:val="001071AE"/>
    <w:rsid w:val="00107472"/>
    <w:rsid w:val="001077D3"/>
    <w:rsid w:val="00107D07"/>
    <w:rsid w:val="00107D29"/>
    <w:rsid w:val="00107F7C"/>
    <w:rsid w:val="00110171"/>
    <w:rsid w:val="001106D9"/>
    <w:rsid w:val="001107FC"/>
    <w:rsid w:val="00110869"/>
    <w:rsid w:val="00110B0F"/>
    <w:rsid w:val="00111347"/>
    <w:rsid w:val="0011158A"/>
    <w:rsid w:val="00111710"/>
    <w:rsid w:val="00111777"/>
    <w:rsid w:val="00111F0E"/>
    <w:rsid w:val="001123E5"/>
    <w:rsid w:val="0011260C"/>
    <w:rsid w:val="00112F30"/>
    <w:rsid w:val="00113106"/>
    <w:rsid w:val="001134AE"/>
    <w:rsid w:val="00113B22"/>
    <w:rsid w:val="0011459A"/>
    <w:rsid w:val="001149D1"/>
    <w:rsid w:val="00115B6D"/>
    <w:rsid w:val="00115EED"/>
    <w:rsid w:val="001166C1"/>
    <w:rsid w:val="001169E9"/>
    <w:rsid w:val="0011725F"/>
    <w:rsid w:val="00117DB6"/>
    <w:rsid w:val="00117E23"/>
    <w:rsid w:val="00117FD1"/>
    <w:rsid w:val="00120135"/>
    <w:rsid w:val="0012047E"/>
    <w:rsid w:val="0012128B"/>
    <w:rsid w:val="00121376"/>
    <w:rsid w:val="00121C4F"/>
    <w:rsid w:val="00121DBA"/>
    <w:rsid w:val="00122301"/>
    <w:rsid w:val="00123959"/>
    <w:rsid w:val="00123B59"/>
    <w:rsid w:val="00124080"/>
    <w:rsid w:val="00124147"/>
    <w:rsid w:val="00124EF1"/>
    <w:rsid w:val="001252EE"/>
    <w:rsid w:val="0012547F"/>
    <w:rsid w:val="0012585C"/>
    <w:rsid w:val="00125E42"/>
    <w:rsid w:val="00126D7F"/>
    <w:rsid w:val="001274AB"/>
    <w:rsid w:val="00127659"/>
    <w:rsid w:val="00127866"/>
    <w:rsid w:val="00127D0D"/>
    <w:rsid w:val="001304B5"/>
    <w:rsid w:val="00130603"/>
    <w:rsid w:val="0013084B"/>
    <w:rsid w:val="001309D3"/>
    <w:rsid w:val="001310FB"/>
    <w:rsid w:val="0013167C"/>
    <w:rsid w:val="00131A2B"/>
    <w:rsid w:val="00131FC1"/>
    <w:rsid w:val="001327E0"/>
    <w:rsid w:val="00133018"/>
    <w:rsid w:val="001330DE"/>
    <w:rsid w:val="001331CC"/>
    <w:rsid w:val="00133902"/>
    <w:rsid w:val="00134214"/>
    <w:rsid w:val="001348D8"/>
    <w:rsid w:val="00134F15"/>
    <w:rsid w:val="00135392"/>
    <w:rsid w:val="001354E3"/>
    <w:rsid w:val="00135706"/>
    <w:rsid w:val="00136B4B"/>
    <w:rsid w:val="00136E3B"/>
    <w:rsid w:val="00137B7D"/>
    <w:rsid w:val="00137C16"/>
    <w:rsid w:val="00137F67"/>
    <w:rsid w:val="00140190"/>
    <w:rsid w:val="00140A39"/>
    <w:rsid w:val="00140EE1"/>
    <w:rsid w:val="00140FA1"/>
    <w:rsid w:val="001411C6"/>
    <w:rsid w:val="00141536"/>
    <w:rsid w:val="00141B89"/>
    <w:rsid w:val="001420F8"/>
    <w:rsid w:val="00142791"/>
    <w:rsid w:val="00142B69"/>
    <w:rsid w:val="00142D7F"/>
    <w:rsid w:val="00142F51"/>
    <w:rsid w:val="00143544"/>
    <w:rsid w:val="00143B00"/>
    <w:rsid w:val="00143B91"/>
    <w:rsid w:val="00143D63"/>
    <w:rsid w:val="00143F97"/>
    <w:rsid w:val="001441A6"/>
    <w:rsid w:val="001443C3"/>
    <w:rsid w:val="001447EB"/>
    <w:rsid w:val="00145010"/>
    <w:rsid w:val="001455F1"/>
    <w:rsid w:val="00145816"/>
    <w:rsid w:val="00146321"/>
    <w:rsid w:val="00146350"/>
    <w:rsid w:val="0014662F"/>
    <w:rsid w:val="0014673C"/>
    <w:rsid w:val="0014674B"/>
    <w:rsid w:val="00146C58"/>
    <w:rsid w:val="00146D5A"/>
    <w:rsid w:val="00146DAE"/>
    <w:rsid w:val="00147529"/>
    <w:rsid w:val="00147A34"/>
    <w:rsid w:val="00147A72"/>
    <w:rsid w:val="00147EA8"/>
    <w:rsid w:val="0015031A"/>
    <w:rsid w:val="0015056C"/>
    <w:rsid w:val="00150B4C"/>
    <w:rsid w:val="00150C86"/>
    <w:rsid w:val="0015241F"/>
    <w:rsid w:val="00152AC3"/>
    <w:rsid w:val="00152D55"/>
    <w:rsid w:val="00152D60"/>
    <w:rsid w:val="0015306C"/>
    <w:rsid w:val="00153156"/>
    <w:rsid w:val="0015330A"/>
    <w:rsid w:val="001535D0"/>
    <w:rsid w:val="00153794"/>
    <w:rsid w:val="00153DFA"/>
    <w:rsid w:val="00153E02"/>
    <w:rsid w:val="001540FE"/>
    <w:rsid w:val="00155458"/>
    <w:rsid w:val="00155610"/>
    <w:rsid w:val="0015568A"/>
    <w:rsid w:val="00155772"/>
    <w:rsid w:val="00155911"/>
    <w:rsid w:val="00155D98"/>
    <w:rsid w:val="0015600E"/>
    <w:rsid w:val="001566BA"/>
    <w:rsid w:val="001567E7"/>
    <w:rsid w:val="0015686F"/>
    <w:rsid w:val="00156889"/>
    <w:rsid w:val="00156C3E"/>
    <w:rsid w:val="001571F9"/>
    <w:rsid w:val="0015737E"/>
    <w:rsid w:val="00157CFD"/>
    <w:rsid w:val="00157E85"/>
    <w:rsid w:val="0016045E"/>
    <w:rsid w:val="00160F58"/>
    <w:rsid w:val="0016121C"/>
    <w:rsid w:val="001614E1"/>
    <w:rsid w:val="001617DC"/>
    <w:rsid w:val="00161809"/>
    <w:rsid w:val="0016180B"/>
    <w:rsid w:val="00161C3D"/>
    <w:rsid w:val="00161F04"/>
    <w:rsid w:val="00162560"/>
    <w:rsid w:val="001625D0"/>
    <w:rsid w:val="00162B97"/>
    <w:rsid w:val="00162C8F"/>
    <w:rsid w:val="00162CB6"/>
    <w:rsid w:val="00162DAA"/>
    <w:rsid w:val="00163050"/>
    <w:rsid w:val="00163153"/>
    <w:rsid w:val="00163899"/>
    <w:rsid w:val="001638EC"/>
    <w:rsid w:val="001639D9"/>
    <w:rsid w:val="001643BA"/>
    <w:rsid w:val="00164D85"/>
    <w:rsid w:val="00166EBA"/>
    <w:rsid w:val="00167101"/>
    <w:rsid w:val="00167D48"/>
    <w:rsid w:val="0017005A"/>
    <w:rsid w:val="00170377"/>
    <w:rsid w:val="001707FB"/>
    <w:rsid w:val="00170DFF"/>
    <w:rsid w:val="001726EB"/>
    <w:rsid w:val="00172B6E"/>
    <w:rsid w:val="00172BBE"/>
    <w:rsid w:val="00172DF8"/>
    <w:rsid w:val="00172E20"/>
    <w:rsid w:val="0017375D"/>
    <w:rsid w:val="00173799"/>
    <w:rsid w:val="0017399E"/>
    <w:rsid w:val="00173D7D"/>
    <w:rsid w:val="00174151"/>
    <w:rsid w:val="001742F8"/>
    <w:rsid w:val="001748C7"/>
    <w:rsid w:val="00174F5B"/>
    <w:rsid w:val="00174F8B"/>
    <w:rsid w:val="00175107"/>
    <w:rsid w:val="001754B1"/>
    <w:rsid w:val="001755F4"/>
    <w:rsid w:val="0017580B"/>
    <w:rsid w:val="001758C1"/>
    <w:rsid w:val="00175918"/>
    <w:rsid w:val="00176215"/>
    <w:rsid w:val="0017626D"/>
    <w:rsid w:val="0017651C"/>
    <w:rsid w:val="00176704"/>
    <w:rsid w:val="0017674A"/>
    <w:rsid w:val="00176DEF"/>
    <w:rsid w:val="0017747C"/>
    <w:rsid w:val="001774AD"/>
    <w:rsid w:val="00177976"/>
    <w:rsid w:val="00177A33"/>
    <w:rsid w:val="00177F10"/>
    <w:rsid w:val="0018089C"/>
    <w:rsid w:val="00181244"/>
    <w:rsid w:val="00181BBD"/>
    <w:rsid w:val="00181C67"/>
    <w:rsid w:val="00181D07"/>
    <w:rsid w:val="00181E7A"/>
    <w:rsid w:val="001820A0"/>
    <w:rsid w:val="0018211F"/>
    <w:rsid w:val="00182292"/>
    <w:rsid w:val="001825A9"/>
    <w:rsid w:val="00182770"/>
    <w:rsid w:val="00182CA1"/>
    <w:rsid w:val="0018347B"/>
    <w:rsid w:val="00183CCE"/>
    <w:rsid w:val="00184AA4"/>
    <w:rsid w:val="00184B18"/>
    <w:rsid w:val="00184BCE"/>
    <w:rsid w:val="0018509D"/>
    <w:rsid w:val="00185527"/>
    <w:rsid w:val="00185D47"/>
    <w:rsid w:val="00185FE5"/>
    <w:rsid w:val="0018613E"/>
    <w:rsid w:val="0018637D"/>
    <w:rsid w:val="00186638"/>
    <w:rsid w:val="00186B8E"/>
    <w:rsid w:val="00186D11"/>
    <w:rsid w:val="001879E7"/>
    <w:rsid w:val="00190860"/>
    <w:rsid w:val="001909E5"/>
    <w:rsid w:val="00190F06"/>
    <w:rsid w:val="001914AD"/>
    <w:rsid w:val="00191551"/>
    <w:rsid w:val="00191A6D"/>
    <w:rsid w:val="00191D2F"/>
    <w:rsid w:val="00191F69"/>
    <w:rsid w:val="00192102"/>
    <w:rsid w:val="001922D9"/>
    <w:rsid w:val="001923E3"/>
    <w:rsid w:val="00192531"/>
    <w:rsid w:val="00192618"/>
    <w:rsid w:val="00192812"/>
    <w:rsid w:val="001937D9"/>
    <w:rsid w:val="001939D9"/>
    <w:rsid w:val="00193BFC"/>
    <w:rsid w:val="00194333"/>
    <w:rsid w:val="00194AF6"/>
    <w:rsid w:val="00194BA9"/>
    <w:rsid w:val="00194EE1"/>
    <w:rsid w:val="00195F54"/>
    <w:rsid w:val="001963E3"/>
    <w:rsid w:val="00196502"/>
    <w:rsid w:val="00196AC3"/>
    <w:rsid w:val="00196E4C"/>
    <w:rsid w:val="0019742F"/>
    <w:rsid w:val="0019755B"/>
    <w:rsid w:val="0019774B"/>
    <w:rsid w:val="00197758"/>
    <w:rsid w:val="00197AC9"/>
    <w:rsid w:val="00197B08"/>
    <w:rsid w:val="00197DE3"/>
    <w:rsid w:val="001A07EF"/>
    <w:rsid w:val="001A0917"/>
    <w:rsid w:val="001A0CB6"/>
    <w:rsid w:val="001A1150"/>
    <w:rsid w:val="001A1400"/>
    <w:rsid w:val="001A15D2"/>
    <w:rsid w:val="001A17A2"/>
    <w:rsid w:val="001A1BF2"/>
    <w:rsid w:val="001A1E4A"/>
    <w:rsid w:val="001A2021"/>
    <w:rsid w:val="001A223B"/>
    <w:rsid w:val="001A2986"/>
    <w:rsid w:val="001A2B30"/>
    <w:rsid w:val="001A2D26"/>
    <w:rsid w:val="001A30B3"/>
    <w:rsid w:val="001A3B22"/>
    <w:rsid w:val="001A3E87"/>
    <w:rsid w:val="001A44AC"/>
    <w:rsid w:val="001A4769"/>
    <w:rsid w:val="001A497E"/>
    <w:rsid w:val="001A49C9"/>
    <w:rsid w:val="001A4BE6"/>
    <w:rsid w:val="001A5491"/>
    <w:rsid w:val="001A579A"/>
    <w:rsid w:val="001A584F"/>
    <w:rsid w:val="001A594E"/>
    <w:rsid w:val="001A5CD7"/>
    <w:rsid w:val="001A5E3C"/>
    <w:rsid w:val="001A60F2"/>
    <w:rsid w:val="001A6DAD"/>
    <w:rsid w:val="001A7113"/>
    <w:rsid w:val="001A753E"/>
    <w:rsid w:val="001A7B9D"/>
    <w:rsid w:val="001A7D44"/>
    <w:rsid w:val="001A7F0F"/>
    <w:rsid w:val="001B030E"/>
    <w:rsid w:val="001B063C"/>
    <w:rsid w:val="001B0CF4"/>
    <w:rsid w:val="001B0DA6"/>
    <w:rsid w:val="001B0DD9"/>
    <w:rsid w:val="001B0F8B"/>
    <w:rsid w:val="001B14E4"/>
    <w:rsid w:val="001B1BCE"/>
    <w:rsid w:val="001B22CF"/>
    <w:rsid w:val="001B2519"/>
    <w:rsid w:val="001B25DA"/>
    <w:rsid w:val="001B263B"/>
    <w:rsid w:val="001B2675"/>
    <w:rsid w:val="001B2AEE"/>
    <w:rsid w:val="001B2B3F"/>
    <w:rsid w:val="001B3329"/>
    <w:rsid w:val="001B3622"/>
    <w:rsid w:val="001B3854"/>
    <w:rsid w:val="001B3A9E"/>
    <w:rsid w:val="001B43BC"/>
    <w:rsid w:val="001B56A2"/>
    <w:rsid w:val="001B570B"/>
    <w:rsid w:val="001B5A8E"/>
    <w:rsid w:val="001B6223"/>
    <w:rsid w:val="001B6A53"/>
    <w:rsid w:val="001B6B6B"/>
    <w:rsid w:val="001B7015"/>
    <w:rsid w:val="001B7151"/>
    <w:rsid w:val="001B7A8D"/>
    <w:rsid w:val="001C05C4"/>
    <w:rsid w:val="001C0BBD"/>
    <w:rsid w:val="001C127F"/>
    <w:rsid w:val="001C1A16"/>
    <w:rsid w:val="001C1C79"/>
    <w:rsid w:val="001C2765"/>
    <w:rsid w:val="001C27F8"/>
    <w:rsid w:val="001C2A72"/>
    <w:rsid w:val="001C2B79"/>
    <w:rsid w:val="001C3F4A"/>
    <w:rsid w:val="001C4A7A"/>
    <w:rsid w:val="001C4F5E"/>
    <w:rsid w:val="001C502A"/>
    <w:rsid w:val="001C505F"/>
    <w:rsid w:val="001C53C6"/>
    <w:rsid w:val="001C5460"/>
    <w:rsid w:val="001C576B"/>
    <w:rsid w:val="001C577A"/>
    <w:rsid w:val="001C57D4"/>
    <w:rsid w:val="001C59E3"/>
    <w:rsid w:val="001C5D45"/>
    <w:rsid w:val="001C60E3"/>
    <w:rsid w:val="001C621F"/>
    <w:rsid w:val="001C64FC"/>
    <w:rsid w:val="001C677D"/>
    <w:rsid w:val="001C6898"/>
    <w:rsid w:val="001C6E41"/>
    <w:rsid w:val="001C7024"/>
    <w:rsid w:val="001C71A7"/>
    <w:rsid w:val="001C7E82"/>
    <w:rsid w:val="001D066F"/>
    <w:rsid w:val="001D085B"/>
    <w:rsid w:val="001D0B24"/>
    <w:rsid w:val="001D0B98"/>
    <w:rsid w:val="001D0F8F"/>
    <w:rsid w:val="001D124F"/>
    <w:rsid w:val="001D15C1"/>
    <w:rsid w:val="001D1EB5"/>
    <w:rsid w:val="001D2097"/>
    <w:rsid w:val="001D2681"/>
    <w:rsid w:val="001D3679"/>
    <w:rsid w:val="001D3AB7"/>
    <w:rsid w:val="001D45FA"/>
    <w:rsid w:val="001D4798"/>
    <w:rsid w:val="001D5B18"/>
    <w:rsid w:val="001D5E3A"/>
    <w:rsid w:val="001D669C"/>
    <w:rsid w:val="001D734E"/>
    <w:rsid w:val="001D7438"/>
    <w:rsid w:val="001D7CB4"/>
    <w:rsid w:val="001D7E35"/>
    <w:rsid w:val="001E0176"/>
    <w:rsid w:val="001E0A62"/>
    <w:rsid w:val="001E0F01"/>
    <w:rsid w:val="001E1220"/>
    <w:rsid w:val="001E152F"/>
    <w:rsid w:val="001E2301"/>
    <w:rsid w:val="001E2955"/>
    <w:rsid w:val="001E3017"/>
    <w:rsid w:val="001E361F"/>
    <w:rsid w:val="001E3650"/>
    <w:rsid w:val="001E401E"/>
    <w:rsid w:val="001E4241"/>
    <w:rsid w:val="001E5527"/>
    <w:rsid w:val="001E5562"/>
    <w:rsid w:val="001E5CAF"/>
    <w:rsid w:val="001E60AC"/>
    <w:rsid w:val="001E61F7"/>
    <w:rsid w:val="001E6563"/>
    <w:rsid w:val="001E6F42"/>
    <w:rsid w:val="001E7476"/>
    <w:rsid w:val="001E77E5"/>
    <w:rsid w:val="001E78BD"/>
    <w:rsid w:val="001E78CE"/>
    <w:rsid w:val="001E7C29"/>
    <w:rsid w:val="001E7D8C"/>
    <w:rsid w:val="001E7FE6"/>
    <w:rsid w:val="001F0014"/>
    <w:rsid w:val="001F0209"/>
    <w:rsid w:val="001F0632"/>
    <w:rsid w:val="001F0D77"/>
    <w:rsid w:val="001F0DE9"/>
    <w:rsid w:val="001F0F81"/>
    <w:rsid w:val="001F12F8"/>
    <w:rsid w:val="001F131B"/>
    <w:rsid w:val="001F1397"/>
    <w:rsid w:val="001F14F9"/>
    <w:rsid w:val="001F1973"/>
    <w:rsid w:val="001F1A11"/>
    <w:rsid w:val="001F1A8A"/>
    <w:rsid w:val="001F1C72"/>
    <w:rsid w:val="001F1D15"/>
    <w:rsid w:val="001F37D3"/>
    <w:rsid w:val="001F4133"/>
    <w:rsid w:val="001F4467"/>
    <w:rsid w:val="001F44E0"/>
    <w:rsid w:val="001F4987"/>
    <w:rsid w:val="001F49F2"/>
    <w:rsid w:val="001F4B06"/>
    <w:rsid w:val="001F4BA5"/>
    <w:rsid w:val="001F4E51"/>
    <w:rsid w:val="001F51F2"/>
    <w:rsid w:val="001F61BB"/>
    <w:rsid w:val="001F627B"/>
    <w:rsid w:val="001F6948"/>
    <w:rsid w:val="001F6990"/>
    <w:rsid w:val="001F6E52"/>
    <w:rsid w:val="001F731B"/>
    <w:rsid w:val="001F77EF"/>
    <w:rsid w:val="001F7909"/>
    <w:rsid w:val="001F7BE8"/>
    <w:rsid w:val="00200053"/>
    <w:rsid w:val="00200AF5"/>
    <w:rsid w:val="002018E2"/>
    <w:rsid w:val="00201B77"/>
    <w:rsid w:val="002022B1"/>
    <w:rsid w:val="00202506"/>
    <w:rsid w:val="002026B3"/>
    <w:rsid w:val="0020280D"/>
    <w:rsid w:val="00202E24"/>
    <w:rsid w:val="0020310F"/>
    <w:rsid w:val="00203328"/>
    <w:rsid w:val="0020342A"/>
    <w:rsid w:val="0020351D"/>
    <w:rsid w:val="00203894"/>
    <w:rsid w:val="00203A61"/>
    <w:rsid w:val="00203C11"/>
    <w:rsid w:val="0020477E"/>
    <w:rsid w:val="00204C05"/>
    <w:rsid w:val="00204E38"/>
    <w:rsid w:val="00204FE1"/>
    <w:rsid w:val="00205234"/>
    <w:rsid w:val="0020563D"/>
    <w:rsid w:val="00205829"/>
    <w:rsid w:val="00205A02"/>
    <w:rsid w:val="00205B65"/>
    <w:rsid w:val="00205BC1"/>
    <w:rsid w:val="0020620C"/>
    <w:rsid w:val="002067D4"/>
    <w:rsid w:val="002068FA"/>
    <w:rsid w:val="002078C3"/>
    <w:rsid w:val="002102D3"/>
    <w:rsid w:val="00210381"/>
    <w:rsid w:val="002106F7"/>
    <w:rsid w:val="00210C35"/>
    <w:rsid w:val="00210CB9"/>
    <w:rsid w:val="00211045"/>
    <w:rsid w:val="00211050"/>
    <w:rsid w:val="0021113D"/>
    <w:rsid w:val="00211985"/>
    <w:rsid w:val="00211AE1"/>
    <w:rsid w:val="00211BEA"/>
    <w:rsid w:val="00211D8B"/>
    <w:rsid w:val="0021263D"/>
    <w:rsid w:val="002128F2"/>
    <w:rsid w:val="00212B0D"/>
    <w:rsid w:val="00212E44"/>
    <w:rsid w:val="00212ED0"/>
    <w:rsid w:val="00212F0C"/>
    <w:rsid w:val="00212F82"/>
    <w:rsid w:val="0021324D"/>
    <w:rsid w:val="002136F7"/>
    <w:rsid w:val="00213AEE"/>
    <w:rsid w:val="00213B3C"/>
    <w:rsid w:val="00214157"/>
    <w:rsid w:val="002141BC"/>
    <w:rsid w:val="00214320"/>
    <w:rsid w:val="002148F9"/>
    <w:rsid w:val="00214C11"/>
    <w:rsid w:val="002154BA"/>
    <w:rsid w:val="002157E8"/>
    <w:rsid w:val="0021581F"/>
    <w:rsid w:val="00216441"/>
    <w:rsid w:val="00216544"/>
    <w:rsid w:val="002165C8"/>
    <w:rsid w:val="002168D9"/>
    <w:rsid w:val="0021693A"/>
    <w:rsid w:val="00216D60"/>
    <w:rsid w:val="00217471"/>
    <w:rsid w:val="00217A5E"/>
    <w:rsid w:val="00220076"/>
    <w:rsid w:val="0022073C"/>
    <w:rsid w:val="00221020"/>
    <w:rsid w:val="00221CCB"/>
    <w:rsid w:val="00221DB3"/>
    <w:rsid w:val="00221ED4"/>
    <w:rsid w:val="00222128"/>
    <w:rsid w:val="0022282B"/>
    <w:rsid w:val="00222B46"/>
    <w:rsid w:val="00222B80"/>
    <w:rsid w:val="002231C2"/>
    <w:rsid w:val="0022359C"/>
    <w:rsid w:val="002238E6"/>
    <w:rsid w:val="002239A2"/>
    <w:rsid w:val="00223E6D"/>
    <w:rsid w:val="00223FD3"/>
    <w:rsid w:val="002242E9"/>
    <w:rsid w:val="00224417"/>
    <w:rsid w:val="00224732"/>
    <w:rsid w:val="00224938"/>
    <w:rsid w:val="002250C4"/>
    <w:rsid w:val="00225248"/>
    <w:rsid w:val="0022541B"/>
    <w:rsid w:val="002255BB"/>
    <w:rsid w:val="00225AFE"/>
    <w:rsid w:val="002260A4"/>
    <w:rsid w:val="0022640B"/>
    <w:rsid w:val="00226584"/>
    <w:rsid w:val="00226878"/>
    <w:rsid w:val="00226ADE"/>
    <w:rsid w:val="00226D1B"/>
    <w:rsid w:val="0022718C"/>
    <w:rsid w:val="00227811"/>
    <w:rsid w:val="00227D00"/>
    <w:rsid w:val="0023034D"/>
    <w:rsid w:val="00231380"/>
    <w:rsid w:val="00231598"/>
    <w:rsid w:val="002317AF"/>
    <w:rsid w:val="00231A45"/>
    <w:rsid w:val="00231CF8"/>
    <w:rsid w:val="00231E36"/>
    <w:rsid w:val="00233370"/>
    <w:rsid w:val="00233434"/>
    <w:rsid w:val="002336BA"/>
    <w:rsid w:val="00233B1C"/>
    <w:rsid w:val="00233F11"/>
    <w:rsid w:val="002343A9"/>
    <w:rsid w:val="00234446"/>
    <w:rsid w:val="00234A45"/>
    <w:rsid w:val="00234D78"/>
    <w:rsid w:val="00234E8E"/>
    <w:rsid w:val="00234E92"/>
    <w:rsid w:val="00235AE4"/>
    <w:rsid w:val="00235F3D"/>
    <w:rsid w:val="002367DC"/>
    <w:rsid w:val="0023688D"/>
    <w:rsid w:val="002369B0"/>
    <w:rsid w:val="00236A33"/>
    <w:rsid w:val="00236E5E"/>
    <w:rsid w:val="0023749D"/>
    <w:rsid w:val="00237FE5"/>
    <w:rsid w:val="00237FF8"/>
    <w:rsid w:val="00240789"/>
    <w:rsid w:val="00240BF7"/>
    <w:rsid w:val="00241BA7"/>
    <w:rsid w:val="00241CD9"/>
    <w:rsid w:val="00242B34"/>
    <w:rsid w:val="00243032"/>
    <w:rsid w:val="00243069"/>
    <w:rsid w:val="0024349A"/>
    <w:rsid w:val="002438E1"/>
    <w:rsid w:val="00243D31"/>
    <w:rsid w:val="00243DCD"/>
    <w:rsid w:val="002458FF"/>
    <w:rsid w:val="00245C33"/>
    <w:rsid w:val="002460CE"/>
    <w:rsid w:val="002462B2"/>
    <w:rsid w:val="00246539"/>
    <w:rsid w:val="00246C4B"/>
    <w:rsid w:val="00247233"/>
    <w:rsid w:val="00247730"/>
    <w:rsid w:val="002478E0"/>
    <w:rsid w:val="002479BE"/>
    <w:rsid w:val="00247DAF"/>
    <w:rsid w:val="00247F33"/>
    <w:rsid w:val="002500DF"/>
    <w:rsid w:val="002500E5"/>
    <w:rsid w:val="00250105"/>
    <w:rsid w:val="00250252"/>
    <w:rsid w:val="00250821"/>
    <w:rsid w:val="00250882"/>
    <w:rsid w:val="00250F60"/>
    <w:rsid w:val="00251CD1"/>
    <w:rsid w:val="00251D3E"/>
    <w:rsid w:val="0025203A"/>
    <w:rsid w:val="0025249D"/>
    <w:rsid w:val="0025249E"/>
    <w:rsid w:val="002525B0"/>
    <w:rsid w:val="002528C2"/>
    <w:rsid w:val="00253370"/>
    <w:rsid w:val="002535D2"/>
    <w:rsid w:val="002537BB"/>
    <w:rsid w:val="002538D8"/>
    <w:rsid w:val="00254005"/>
    <w:rsid w:val="0025478C"/>
    <w:rsid w:val="00254E0E"/>
    <w:rsid w:val="00254F75"/>
    <w:rsid w:val="00254FC2"/>
    <w:rsid w:val="0025519D"/>
    <w:rsid w:val="00255C9D"/>
    <w:rsid w:val="00256632"/>
    <w:rsid w:val="002572B9"/>
    <w:rsid w:val="002572BD"/>
    <w:rsid w:val="00260299"/>
    <w:rsid w:val="002603D4"/>
    <w:rsid w:val="00260583"/>
    <w:rsid w:val="00260802"/>
    <w:rsid w:val="00260E56"/>
    <w:rsid w:val="002610BE"/>
    <w:rsid w:val="002612D0"/>
    <w:rsid w:val="0026145E"/>
    <w:rsid w:val="002616CF"/>
    <w:rsid w:val="0026179E"/>
    <w:rsid w:val="00261C22"/>
    <w:rsid w:val="00261F8B"/>
    <w:rsid w:val="00262443"/>
    <w:rsid w:val="00262AEA"/>
    <w:rsid w:val="00262BFE"/>
    <w:rsid w:val="00262E1F"/>
    <w:rsid w:val="0026364E"/>
    <w:rsid w:val="00263814"/>
    <w:rsid w:val="002638A7"/>
    <w:rsid w:val="00263A5F"/>
    <w:rsid w:val="00263CD5"/>
    <w:rsid w:val="00263F74"/>
    <w:rsid w:val="00264073"/>
    <w:rsid w:val="002641E8"/>
    <w:rsid w:val="002644B0"/>
    <w:rsid w:val="002647B5"/>
    <w:rsid w:val="002654C0"/>
    <w:rsid w:val="002657EC"/>
    <w:rsid w:val="002657EF"/>
    <w:rsid w:val="00265C5F"/>
    <w:rsid w:val="002664A8"/>
    <w:rsid w:val="002664F9"/>
    <w:rsid w:val="0026686B"/>
    <w:rsid w:val="002668C2"/>
    <w:rsid w:val="00266ED9"/>
    <w:rsid w:val="00267145"/>
    <w:rsid w:val="002675A6"/>
    <w:rsid w:val="00267856"/>
    <w:rsid w:val="00270835"/>
    <w:rsid w:val="0027098C"/>
    <w:rsid w:val="002709F1"/>
    <w:rsid w:val="00270C8B"/>
    <w:rsid w:val="00270E7B"/>
    <w:rsid w:val="0027113A"/>
    <w:rsid w:val="00271377"/>
    <w:rsid w:val="00271599"/>
    <w:rsid w:val="00271CFC"/>
    <w:rsid w:val="00272435"/>
    <w:rsid w:val="0027284E"/>
    <w:rsid w:val="00272864"/>
    <w:rsid w:val="00272ABC"/>
    <w:rsid w:val="00273186"/>
    <w:rsid w:val="0027330C"/>
    <w:rsid w:val="00273F23"/>
    <w:rsid w:val="00274187"/>
    <w:rsid w:val="0027428A"/>
    <w:rsid w:val="002745C0"/>
    <w:rsid w:val="00274AD6"/>
    <w:rsid w:val="00275F2B"/>
    <w:rsid w:val="00275FDE"/>
    <w:rsid w:val="00276422"/>
    <w:rsid w:val="002765D8"/>
    <w:rsid w:val="002767C0"/>
    <w:rsid w:val="00276CDA"/>
    <w:rsid w:val="002770D7"/>
    <w:rsid w:val="00277114"/>
    <w:rsid w:val="00277383"/>
    <w:rsid w:val="002773F8"/>
    <w:rsid w:val="002777BA"/>
    <w:rsid w:val="0027799A"/>
    <w:rsid w:val="00277DFD"/>
    <w:rsid w:val="00277E9A"/>
    <w:rsid w:val="00280250"/>
    <w:rsid w:val="00280771"/>
    <w:rsid w:val="00280818"/>
    <w:rsid w:val="0028083C"/>
    <w:rsid w:val="00280A24"/>
    <w:rsid w:val="00280C29"/>
    <w:rsid w:val="002811A8"/>
    <w:rsid w:val="002813DA"/>
    <w:rsid w:val="002814C1"/>
    <w:rsid w:val="00281C0B"/>
    <w:rsid w:val="00281E03"/>
    <w:rsid w:val="0028206C"/>
    <w:rsid w:val="0028279F"/>
    <w:rsid w:val="00282E27"/>
    <w:rsid w:val="00282E2B"/>
    <w:rsid w:val="00283042"/>
    <w:rsid w:val="00283533"/>
    <w:rsid w:val="002838F6"/>
    <w:rsid w:val="00283BAD"/>
    <w:rsid w:val="00283BC6"/>
    <w:rsid w:val="00283E36"/>
    <w:rsid w:val="002842AC"/>
    <w:rsid w:val="0028478A"/>
    <w:rsid w:val="00284A80"/>
    <w:rsid w:val="00284BA8"/>
    <w:rsid w:val="00284BB5"/>
    <w:rsid w:val="00284C4E"/>
    <w:rsid w:val="00284FE6"/>
    <w:rsid w:val="0028508A"/>
    <w:rsid w:val="0028508B"/>
    <w:rsid w:val="00285A7D"/>
    <w:rsid w:val="00286816"/>
    <w:rsid w:val="00286E02"/>
    <w:rsid w:val="00287241"/>
    <w:rsid w:val="002872A4"/>
    <w:rsid w:val="002872F3"/>
    <w:rsid w:val="00287491"/>
    <w:rsid w:val="0028789A"/>
    <w:rsid w:val="0028799E"/>
    <w:rsid w:val="00290145"/>
    <w:rsid w:val="0029044E"/>
    <w:rsid w:val="002906AA"/>
    <w:rsid w:val="002908AB"/>
    <w:rsid w:val="00291BF8"/>
    <w:rsid w:val="00292737"/>
    <w:rsid w:val="00292797"/>
    <w:rsid w:val="00292A1D"/>
    <w:rsid w:val="00293643"/>
    <w:rsid w:val="00293647"/>
    <w:rsid w:val="00293C23"/>
    <w:rsid w:val="00293CC4"/>
    <w:rsid w:val="00293D40"/>
    <w:rsid w:val="00293E2C"/>
    <w:rsid w:val="0029412A"/>
    <w:rsid w:val="00294602"/>
    <w:rsid w:val="0029467D"/>
    <w:rsid w:val="0029468D"/>
    <w:rsid w:val="002946AC"/>
    <w:rsid w:val="00294CE8"/>
    <w:rsid w:val="0029500E"/>
    <w:rsid w:val="002954E9"/>
    <w:rsid w:val="002956B3"/>
    <w:rsid w:val="00295809"/>
    <w:rsid w:val="00295B70"/>
    <w:rsid w:val="002960B4"/>
    <w:rsid w:val="00296497"/>
    <w:rsid w:val="0029674B"/>
    <w:rsid w:val="00296C6F"/>
    <w:rsid w:val="00296D6B"/>
    <w:rsid w:val="00296E09"/>
    <w:rsid w:val="00297969"/>
    <w:rsid w:val="0029799A"/>
    <w:rsid w:val="00297B5C"/>
    <w:rsid w:val="00297F36"/>
    <w:rsid w:val="002A05C3"/>
    <w:rsid w:val="002A065B"/>
    <w:rsid w:val="002A0900"/>
    <w:rsid w:val="002A118F"/>
    <w:rsid w:val="002A1376"/>
    <w:rsid w:val="002A1923"/>
    <w:rsid w:val="002A2398"/>
    <w:rsid w:val="002A243E"/>
    <w:rsid w:val="002A2552"/>
    <w:rsid w:val="002A2615"/>
    <w:rsid w:val="002A28A0"/>
    <w:rsid w:val="002A2F09"/>
    <w:rsid w:val="002A310A"/>
    <w:rsid w:val="002A311F"/>
    <w:rsid w:val="002A3373"/>
    <w:rsid w:val="002A3557"/>
    <w:rsid w:val="002A3786"/>
    <w:rsid w:val="002A38BB"/>
    <w:rsid w:val="002A528B"/>
    <w:rsid w:val="002A55F4"/>
    <w:rsid w:val="002A58F3"/>
    <w:rsid w:val="002A5AD3"/>
    <w:rsid w:val="002A5C87"/>
    <w:rsid w:val="002A5D81"/>
    <w:rsid w:val="002A5E27"/>
    <w:rsid w:val="002A5FA6"/>
    <w:rsid w:val="002A62FD"/>
    <w:rsid w:val="002A6344"/>
    <w:rsid w:val="002A6BEC"/>
    <w:rsid w:val="002A6FFA"/>
    <w:rsid w:val="002A7441"/>
    <w:rsid w:val="002A77E6"/>
    <w:rsid w:val="002A79D3"/>
    <w:rsid w:val="002B09B5"/>
    <w:rsid w:val="002B0F37"/>
    <w:rsid w:val="002B0FE8"/>
    <w:rsid w:val="002B1456"/>
    <w:rsid w:val="002B19A4"/>
    <w:rsid w:val="002B1FDE"/>
    <w:rsid w:val="002B25F0"/>
    <w:rsid w:val="002B2ABA"/>
    <w:rsid w:val="002B2F61"/>
    <w:rsid w:val="002B3222"/>
    <w:rsid w:val="002B32E3"/>
    <w:rsid w:val="002B3466"/>
    <w:rsid w:val="002B3CFB"/>
    <w:rsid w:val="002B3E4D"/>
    <w:rsid w:val="002B4142"/>
    <w:rsid w:val="002B43A2"/>
    <w:rsid w:val="002B4784"/>
    <w:rsid w:val="002B4D5D"/>
    <w:rsid w:val="002B4FAC"/>
    <w:rsid w:val="002B505C"/>
    <w:rsid w:val="002B51C9"/>
    <w:rsid w:val="002B5220"/>
    <w:rsid w:val="002B5ABD"/>
    <w:rsid w:val="002B5DE9"/>
    <w:rsid w:val="002B62CB"/>
    <w:rsid w:val="002B6694"/>
    <w:rsid w:val="002B6846"/>
    <w:rsid w:val="002B6AD8"/>
    <w:rsid w:val="002B6E4F"/>
    <w:rsid w:val="002B707A"/>
    <w:rsid w:val="002B7966"/>
    <w:rsid w:val="002B7E61"/>
    <w:rsid w:val="002C0E18"/>
    <w:rsid w:val="002C0F24"/>
    <w:rsid w:val="002C1326"/>
    <w:rsid w:val="002C133E"/>
    <w:rsid w:val="002C14B4"/>
    <w:rsid w:val="002C1804"/>
    <w:rsid w:val="002C1CEB"/>
    <w:rsid w:val="002C23EF"/>
    <w:rsid w:val="002C27BE"/>
    <w:rsid w:val="002C2DE0"/>
    <w:rsid w:val="002C3867"/>
    <w:rsid w:val="002C3DE5"/>
    <w:rsid w:val="002C3F19"/>
    <w:rsid w:val="002C47C5"/>
    <w:rsid w:val="002C49B0"/>
    <w:rsid w:val="002C510E"/>
    <w:rsid w:val="002C52B9"/>
    <w:rsid w:val="002C5D13"/>
    <w:rsid w:val="002C5E24"/>
    <w:rsid w:val="002C6099"/>
    <w:rsid w:val="002C629B"/>
    <w:rsid w:val="002C69AE"/>
    <w:rsid w:val="002C7073"/>
    <w:rsid w:val="002C72D1"/>
    <w:rsid w:val="002D0513"/>
    <w:rsid w:val="002D1057"/>
    <w:rsid w:val="002D16C4"/>
    <w:rsid w:val="002D17F8"/>
    <w:rsid w:val="002D19B3"/>
    <w:rsid w:val="002D2257"/>
    <w:rsid w:val="002D25F7"/>
    <w:rsid w:val="002D2714"/>
    <w:rsid w:val="002D2818"/>
    <w:rsid w:val="002D29DF"/>
    <w:rsid w:val="002D33E4"/>
    <w:rsid w:val="002D345E"/>
    <w:rsid w:val="002D3873"/>
    <w:rsid w:val="002D38E5"/>
    <w:rsid w:val="002D3DDA"/>
    <w:rsid w:val="002D421E"/>
    <w:rsid w:val="002D4975"/>
    <w:rsid w:val="002D49DD"/>
    <w:rsid w:val="002D4A31"/>
    <w:rsid w:val="002D4D67"/>
    <w:rsid w:val="002D4DF8"/>
    <w:rsid w:val="002D4F8E"/>
    <w:rsid w:val="002D5146"/>
    <w:rsid w:val="002D5383"/>
    <w:rsid w:val="002D5860"/>
    <w:rsid w:val="002D5993"/>
    <w:rsid w:val="002D59BE"/>
    <w:rsid w:val="002D608A"/>
    <w:rsid w:val="002D624A"/>
    <w:rsid w:val="002D72F3"/>
    <w:rsid w:val="002D7431"/>
    <w:rsid w:val="002D752D"/>
    <w:rsid w:val="002D78F3"/>
    <w:rsid w:val="002D7ADF"/>
    <w:rsid w:val="002E02BD"/>
    <w:rsid w:val="002E0472"/>
    <w:rsid w:val="002E1C7E"/>
    <w:rsid w:val="002E1D0B"/>
    <w:rsid w:val="002E1EBE"/>
    <w:rsid w:val="002E21E5"/>
    <w:rsid w:val="002E2536"/>
    <w:rsid w:val="002E2C88"/>
    <w:rsid w:val="002E337C"/>
    <w:rsid w:val="002E402B"/>
    <w:rsid w:val="002E48FD"/>
    <w:rsid w:val="002E4F8C"/>
    <w:rsid w:val="002E5E3E"/>
    <w:rsid w:val="002E617F"/>
    <w:rsid w:val="002E6666"/>
    <w:rsid w:val="002E76B5"/>
    <w:rsid w:val="002E7733"/>
    <w:rsid w:val="002E7AFA"/>
    <w:rsid w:val="002E7F8F"/>
    <w:rsid w:val="002F01E0"/>
    <w:rsid w:val="002F0711"/>
    <w:rsid w:val="002F07FC"/>
    <w:rsid w:val="002F1015"/>
    <w:rsid w:val="002F1903"/>
    <w:rsid w:val="002F1AC5"/>
    <w:rsid w:val="002F1D35"/>
    <w:rsid w:val="002F241D"/>
    <w:rsid w:val="002F269E"/>
    <w:rsid w:val="002F3084"/>
    <w:rsid w:val="002F3600"/>
    <w:rsid w:val="002F3761"/>
    <w:rsid w:val="002F3C93"/>
    <w:rsid w:val="002F3DE6"/>
    <w:rsid w:val="002F3F23"/>
    <w:rsid w:val="002F4203"/>
    <w:rsid w:val="002F44A6"/>
    <w:rsid w:val="002F4657"/>
    <w:rsid w:val="002F4685"/>
    <w:rsid w:val="002F4718"/>
    <w:rsid w:val="002F49B6"/>
    <w:rsid w:val="002F5065"/>
    <w:rsid w:val="002F5094"/>
    <w:rsid w:val="002F5827"/>
    <w:rsid w:val="002F588E"/>
    <w:rsid w:val="002F5D75"/>
    <w:rsid w:val="002F6148"/>
    <w:rsid w:val="002F7027"/>
    <w:rsid w:val="002F7A47"/>
    <w:rsid w:val="002F7BF3"/>
    <w:rsid w:val="002F7D83"/>
    <w:rsid w:val="002F7D93"/>
    <w:rsid w:val="0030009F"/>
    <w:rsid w:val="003001B7"/>
    <w:rsid w:val="0030092A"/>
    <w:rsid w:val="00301044"/>
    <w:rsid w:val="003011A0"/>
    <w:rsid w:val="00301218"/>
    <w:rsid w:val="00301DF0"/>
    <w:rsid w:val="00301FDD"/>
    <w:rsid w:val="003020BD"/>
    <w:rsid w:val="00302277"/>
    <w:rsid w:val="00302288"/>
    <w:rsid w:val="003024B7"/>
    <w:rsid w:val="003024C6"/>
    <w:rsid w:val="003027DB"/>
    <w:rsid w:val="00302944"/>
    <w:rsid w:val="0030398D"/>
    <w:rsid w:val="003039EF"/>
    <w:rsid w:val="00303C1B"/>
    <w:rsid w:val="00303C7B"/>
    <w:rsid w:val="00304259"/>
    <w:rsid w:val="003045D2"/>
    <w:rsid w:val="003055CB"/>
    <w:rsid w:val="00305738"/>
    <w:rsid w:val="003057A8"/>
    <w:rsid w:val="00305A10"/>
    <w:rsid w:val="00305C59"/>
    <w:rsid w:val="00306048"/>
    <w:rsid w:val="003065F7"/>
    <w:rsid w:val="0030661A"/>
    <w:rsid w:val="003066D7"/>
    <w:rsid w:val="00306C5C"/>
    <w:rsid w:val="00306E2C"/>
    <w:rsid w:val="00307273"/>
    <w:rsid w:val="0030784D"/>
    <w:rsid w:val="0030798F"/>
    <w:rsid w:val="00307B5A"/>
    <w:rsid w:val="003107C2"/>
    <w:rsid w:val="00310A6A"/>
    <w:rsid w:val="00311BD3"/>
    <w:rsid w:val="00311FFB"/>
    <w:rsid w:val="003122C4"/>
    <w:rsid w:val="00313B34"/>
    <w:rsid w:val="00314B45"/>
    <w:rsid w:val="00315129"/>
    <w:rsid w:val="00315ADA"/>
    <w:rsid w:val="00315C4E"/>
    <w:rsid w:val="003160C0"/>
    <w:rsid w:val="003164E5"/>
    <w:rsid w:val="0031678D"/>
    <w:rsid w:val="00317025"/>
    <w:rsid w:val="0031715A"/>
    <w:rsid w:val="0031730F"/>
    <w:rsid w:val="003174B4"/>
    <w:rsid w:val="0031784F"/>
    <w:rsid w:val="00317881"/>
    <w:rsid w:val="003179FD"/>
    <w:rsid w:val="00317C55"/>
    <w:rsid w:val="00317FEC"/>
    <w:rsid w:val="00320044"/>
    <w:rsid w:val="0032007D"/>
    <w:rsid w:val="00320666"/>
    <w:rsid w:val="003209B7"/>
    <w:rsid w:val="00320DF2"/>
    <w:rsid w:val="00320E63"/>
    <w:rsid w:val="00321457"/>
    <w:rsid w:val="0032183A"/>
    <w:rsid w:val="00321E8B"/>
    <w:rsid w:val="00322406"/>
    <w:rsid w:val="0032260E"/>
    <w:rsid w:val="00322B55"/>
    <w:rsid w:val="00322E65"/>
    <w:rsid w:val="00323437"/>
    <w:rsid w:val="003234CA"/>
    <w:rsid w:val="00323613"/>
    <w:rsid w:val="00323D78"/>
    <w:rsid w:val="00324873"/>
    <w:rsid w:val="00324E58"/>
    <w:rsid w:val="003250AD"/>
    <w:rsid w:val="003252B7"/>
    <w:rsid w:val="0032548C"/>
    <w:rsid w:val="003255CA"/>
    <w:rsid w:val="00325BA4"/>
    <w:rsid w:val="00325FC5"/>
    <w:rsid w:val="00326350"/>
    <w:rsid w:val="00326589"/>
    <w:rsid w:val="00327284"/>
    <w:rsid w:val="0032735B"/>
    <w:rsid w:val="0032777B"/>
    <w:rsid w:val="00327BDD"/>
    <w:rsid w:val="00327D3D"/>
    <w:rsid w:val="0033072B"/>
    <w:rsid w:val="00330863"/>
    <w:rsid w:val="00331487"/>
    <w:rsid w:val="003315F6"/>
    <w:rsid w:val="003316A1"/>
    <w:rsid w:val="00331AD5"/>
    <w:rsid w:val="00331BEE"/>
    <w:rsid w:val="00331FFA"/>
    <w:rsid w:val="0033211B"/>
    <w:rsid w:val="0033222E"/>
    <w:rsid w:val="0033295F"/>
    <w:rsid w:val="00333592"/>
    <w:rsid w:val="00333636"/>
    <w:rsid w:val="003336F0"/>
    <w:rsid w:val="003336FB"/>
    <w:rsid w:val="0033391A"/>
    <w:rsid w:val="00333AB1"/>
    <w:rsid w:val="0033444C"/>
    <w:rsid w:val="0033479E"/>
    <w:rsid w:val="00335154"/>
    <w:rsid w:val="00335643"/>
    <w:rsid w:val="0033584C"/>
    <w:rsid w:val="00335A0C"/>
    <w:rsid w:val="00335E8B"/>
    <w:rsid w:val="0033635D"/>
    <w:rsid w:val="003364CC"/>
    <w:rsid w:val="003366A6"/>
    <w:rsid w:val="00336AEE"/>
    <w:rsid w:val="00336B96"/>
    <w:rsid w:val="00336CA4"/>
    <w:rsid w:val="0033712F"/>
    <w:rsid w:val="003375C3"/>
    <w:rsid w:val="00337768"/>
    <w:rsid w:val="00337AEC"/>
    <w:rsid w:val="003401ED"/>
    <w:rsid w:val="00340781"/>
    <w:rsid w:val="00340A20"/>
    <w:rsid w:val="00340E23"/>
    <w:rsid w:val="00341005"/>
    <w:rsid w:val="0034145C"/>
    <w:rsid w:val="003416D9"/>
    <w:rsid w:val="0034178C"/>
    <w:rsid w:val="00341D7C"/>
    <w:rsid w:val="003421CC"/>
    <w:rsid w:val="0034324F"/>
    <w:rsid w:val="0034342B"/>
    <w:rsid w:val="003436D8"/>
    <w:rsid w:val="003437CE"/>
    <w:rsid w:val="00343A13"/>
    <w:rsid w:val="00343CCA"/>
    <w:rsid w:val="0034481F"/>
    <w:rsid w:val="00344F5D"/>
    <w:rsid w:val="0034575E"/>
    <w:rsid w:val="00345FF5"/>
    <w:rsid w:val="00346D8A"/>
    <w:rsid w:val="00346F20"/>
    <w:rsid w:val="003470C2"/>
    <w:rsid w:val="00347790"/>
    <w:rsid w:val="00347998"/>
    <w:rsid w:val="00347F8D"/>
    <w:rsid w:val="00347FAB"/>
    <w:rsid w:val="0035027B"/>
    <w:rsid w:val="0035056B"/>
    <w:rsid w:val="003512CF"/>
    <w:rsid w:val="00351AC2"/>
    <w:rsid w:val="00351CC4"/>
    <w:rsid w:val="0035223A"/>
    <w:rsid w:val="00352526"/>
    <w:rsid w:val="00352558"/>
    <w:rsid w:val="0035273E"/>
    <w:rsid w:val="003531C7"/>
    <w:rsid w:val="003537BA"/>
    <w:rsid w:val="00353CB0"/>
    <w:rsid w:val="00353F26"/>
    <w:rsid w:val="0035406A"/>
    <w:rsid w:val="0035489D"/>
    <w:rsid w:val="00354950"/>
    <w:rsid w:val="00354F0E"/>
    <w:rsid w:val="00355270"/>
    <w:rsid w:val="00355954"/>
    <w:rsid w:val="00355A32"/>
    <w:rsid w:val="00355B1D"/>
    <w:rsid w:val="00355D08"/>
    <w:rsid w:val="00356039"/>
    <w:rsid w:val="003564F2"/>
    <w:rsid w:val="00356510"/>
    <w:rsid w:val="003567A2"/>
    <w:rsid w:val="00356BB7"/>
    <w:rsid w:val="003571CD"/>
    <w:rsid w:val="0035786D"/>
    <w:rsid w:val="00357938"/>
    <w:rsid w:val="00357C53"/>
    <w:rsid w:val="00357F46"/>
    <w:rsid w:val="00361028"/>
    <w:rsid w:val="0036165F"/>
    <w:rsid w:val="00361728"/>
    <w:rsid w:val="0036189E"/>
    <w:rsid w:val="003622A7"/>
    <w:rsid w:val="0036237E"/>
    <w:rsid w:val="00362677"/>
    <w:rsid w:val="00362855"/>
    <w:rsid w:val="00363B0B"/>
    <w:rsid w:val="00363D15"/>
    <w:rsid w:val="00363D28"/>
    <w:rsid w:val="00363DBD"/>
    <w:rsid w:val="003640F7"/>
    <w:rsid w:val="00364123"/>
    <w:rsid w:val="003644BD"/>
    <w:rsid w:val="00364990"/>
    <w:rsid w:val="00364C2A"/>
    <w:rsid w:val="003650FF"/>
    <w:rsid w:val="0036517D"/>
    <w:rsid w:val="00365385"/>
    <w:rsid w:val="00365FC2"/>
    <w:rsid w:val="003669F4"/>
    <w:rsid w:val="00366F51"/>
    <w:rsid w:val="003670B6"/>
    <w:rsid w:val="003673A0"/>
    <w:rsid w:val="00367508"/>
    <w:rsid w:val="00367806"/>
    <w:rsid w:val="00367AD4"/>
    <w:rsid w:val="003702F2"/>
    <w:rsid w:val="003707A4"/>
    <w:rsid w:val="00370E72"/>
    <w:rsid w:val="0037132E"/>
    <w:rsid w:val="003714D3"/>
    <w:rsid w:val="00371B0D"/>
    <w:rsid w:val="00371B8F"/>
    <w:rsid w:val="003721DB"/>
    <w:rsid w:val="0037228D"/>
    <w:rsid w:val="003723DF"/>
    <w:rsid w:val="0037247E"/>
    <w:rsid w:val="00372CE6"/>
    <w:rsid w:val="00372F33"/>
    <w:rsid w:val="00372FF7"/>
    <w:rsid w:val="00373232"/>
    <w:rsid w:val="00373A71"/>
    <w:rsid w:val="00374009"/>
    <w:rsid w:val="00374126"/>
    <w:rsid w:val="00374482"/>
    <w:rsid w:val="003747AD"/>
    <w:rsid w:val="00374CBE"/>
    <w:rsid w:val="003750DD"/>
    <w:rsid w:val="00375887"/>
    <w:rsid w:val="003758BF"/>
    <w:rsid w:val="003758CA"/>
    <w:rsid w:val="00376100"/>
    <w:rsid w:val="00376DE1"/>
    <w:rsid w:val="003770A9"/>
    <w:rsid w:val="00377357"/>
    <w:rsid w:val="0037737A"/>
    <w:rsid w:val="003777AE"/>
    <w:rsid w:val="003801B9"/>
    <w:rsid w:val="003806E9"/>
    <w:rsid w:val="00380786"/>
    <w:rsid w:val="00380B7C"/>
    <w:rsid w:val="00380F6A"/>
    <w:rsid w:val="003810DA"/>
    <w:rsid w:val="003811C1"/>
    <w:rsid w:val="00381757"/>
    <w:rsid w:val="00381A47"/>
    <w:rsid w:val="00381F20"/>
    <w:rsid w:val="00382D11"/>
    <w:rsid w:val="003831E3"/>
    <w:rsid w:val="00383606"/>
    <w:rsid w:val="00383AAE"/>
    <w:rsid w:val="00383E4E"/>
    <w:rsid w:val="003840D3"/>
    <w:rsid w:val="0038417E"/>
    <w:rsid w:val="003847E4"/>
    <w:rsid w:val="003850F4"/>
    <w:rsid w:val="00385BFD"/>
    <w:rsid w:val="00385F64"/>
    <w:rsid w:val="0038611F"/>
    <w:rsid w:val="00386971"/>
    <w:rsid w:val="00386F0C"/>
    <w:rsid w:val="00386F9A"/>
    <w:rsid w:val="00387287"/>
    <w:rsid w:val="00387376"/>
    <w:rsid w:val="00387486"/>
    <w:rsid w:val="003875A5"/>
    <w:rsid w:val="003875E8"/>
    <w:rsid w:val="00387C24"/>
    <w:rsid w:val="00387D0E"/>
    <w:rsid w:val="00387E71"/>
    <w:rsid w:val="00390193"/>
    <w:rsid w:val="00391701"/>
    <w:rsid w:val="00391910"/>
    <w:rsid w:val="00391F78"/>
    <w:rsid w:val="00392188"/>
    <w:rsid w:val="00392560"/>
    <w:rsid w:val="00392E99"/>
    <w:rsid w:val="00393241"/>
    <w:rsid w:val="00393350"/>
    <w:rsid w:val="003942EE"/>
    <w:rsid w:val="00394C21"/>
    <w:rsid w:val="0039516A"/>
    <w:rsid w:val="0039547D"/>
    <w:rsid w:val="003954AC"/>
    <w:rsid w:val="00395CA9"/>
    <w:rsid w:val="0039626C"/>
    <w:rsid w:val="003963B5"/>
    <w:rsid w:val="00396601"/>
    <w:rsid w:val="00396EB2"/>
    <w:rsid w:val="003970BC"/>
    <w:rsid w:val="003977F6"/>
    <w:rsid w:val="0039782D"/>
    <w:rsid w:val="0039788B"/>
    <w:rsid w:val="00397AAF"/>
    <w:rsid w:val="00397DE6"/>
    <w:rsid w:val="003A01F2"/>
    <w:rsid w:val="003A0309"/>
    <w:rsid w:val="003A03A5"/>
    <w:rsid w:val="003A08D6"/>
    <w:rsid w:val="003A0FAF"/>
    <w:rsid w:val="003A102F"/>
    <w:rsid w:val="003A11EA"/>
    <w:rsid w:val="003A1253"/>
    <w:rsid w:val="003A171F"/>
    <w:rsid w:val="003A1BE9"/>
    <w:rsid w:val="003A1C9A"/>
    <w:rsid w:val="003A2789"/>
    <w:rsid w:val="003A3228"/>
    <w:rsid w:val="003A3403"/>
    <w:rsid w:val="003A4074"/>
    <w:rsid w:val="003A466E"/>
    <w:rsid w:val="003A46A8"/>
    <w:rsid w:val="003A4C6D"/>
    <w:rsid w:val="003A5219"/>
    <w:rsid w:val="003A5299"/>
    <w:rsid w:val="003A5372"/>
    <w:rsid w:val="003A54A5"/>
    <w:rsid w:val="003A592A"/>
    <w:rsid w:val="003A5B9D"/>
    <w:rsid w:val="003A68B4"/>
    <w:rsid w:val="003A6FFD"/>
    <w:rsid w:val="003A70F8"/>
    <w:rsid w:val="003A77C8"/>
    <w:rsid w:val="003A7F91"/>
    <w:rsid w:val="003B0440"/>
    <w:rsid w:val="003B0971"/>
    <w:rsid w:val="003B0AE6"/>
    <w:rsid w:val="003B0B3E"/>
    <w:rsid w:val="003B0E68"/>
    <w:rsid w:val="003B11C3"/>
    <w:rsid w:val="003B1385"/>
    <w:rsid w:val="003B17C5"/>
    <w:rsid w:val="003B1B69"/>
    <w:rsid w:val="003B215C"/>
    <w:rsid w:val="003B21CA"/>
    <w:rsid w:val="003B2233"/>
    <w:rsid w:val="003B29A9"/>
    <w:rsid w:val="003B2A79"/>
    <w:rsid w:val="003B32FC"/>
    <w:rsid w:val="003B42F0"/>
    <w:rsid w:val="003B4345"/>
    <w:rsid w:val="003B45AE"/>
    <w:rsid w:val="003B45DC"/>
    <w:rsid w:val="003B45E9"/>
    <w:rsid w:val="003B4DEC"/>
    <w:rsid w:val="003B54FD"/>
    <w:rsid w:val="003B573E"/>
    <w:rsid w:val="003B5A5B"/>
    <w:rsid w:val="003B5C2D"/>
    <w:rsid w:val="003B6162"/>
    <w:rsid w:val="003B6502"/>
    <w:rsid w:val="003B6528"/>
    <w:rsid w:val="003B6735"/>
    <w:rsid w:val="003B68DF"/>
    <w:rsid w:val="003B7A89"/>
    <w:rsid w:val="003C0371"/>
    <w:rsid w:val="003C0423"/>
    <w:rsid w:val="003C0446"/>
    <w:rsid w:val="003C0568"/>
    <w:rsid w:val="003C0C73"/>
    <w:rsid w:val="003C0EA7"/>
    <w:rsid w:val="003C1611"/>
    <w:rsid w:val="003C1C76"/>
    <w:rsid w:val="003C1F2C"/>
    <w:rsid w:val="003C2386"/>
    <w:rsid w:val="003C290D"/>
    <w:rsid w:val="003C2BF3"/>
    <w:rsid w:val="003C2D66"/>
    <w:rsid w:val="003C2F90"/>
    <w:rsid w:val="003C3B22"/>
    <w:rsid w:val="003C3E2F"/>
    <w:rsid w:val="003C42D3"/>
    <w:rsid w:val="003C4791"/>
    <w:rsid w:val="003C4B11"/>
    <w:rsid w:val="003C4FE3"/>
    <w:rsid w:val="003C500C"/>
    <w:rsid w:val="003C5620"/>
    <w:rsid w:val="003C586A"/>
    <w:rsid w:val="003C5AB9"/>
    <w:rsid w:val="003C5F35"/>
    <w:rsid w:val="003C6499"/>
    <w:rsid w:val="003C64D3"/>
    <w:rsid w:val="003C681C"/>
    <w:rsid w:val="003C7435"/>
    <w:rsid w:val="003C7C1A"/>
    <w:rsid w:val="003C7C7C"/>
    <w:rsid w:val="003D04FA"/>
    <w:rsid w:val="003D1BF9"/>
    <w:rsid w:val="003D227B"/>
    <w:rsid w:val="003D2C23"/>
    <w:rsid w:val="003D2D7E"/>
    <w:rsid w:val="003D3E2D"/>
    <w:rsid w:val="003D445B"/>
    <w:rsid w:val="003D461A"/>
    <w:rsid w:val="003D4868"/>
    <w:rsid w:val="003D4903"/>
    <w:rsid w:val="003D4A6D"/>
    <w:rsid w:val="003D53D6"/>
    <w:rsid w:val="003D5B3A"/>
    <w:rsid w:val="003D5B9E"/>
    <w:rsid w:val="003D5BAA"/>
    <w:rsid w:val="003D66AA"/>
    <w:rsid w:val="003D6AD1"/>
    <w:rsid w:val="003D6C8A"/>
    <w:rsid w:val="003D6E31"/>
    <w:rsid w:val="003D6FE3"/>
    <w:rsid w:val="003D7521"/>
    <w:rsid w:val="003D77D8"/>
    <w:rsid w:val="003D7DA2"/>
    <w:rsid w:val="003E0327"/>
    <w:rsid w:val="003E03CE"/>
    <w:rsid w:val="003E0CDB"/>
    <w:rsid w:val="003E0F17"/>
    <w:rsid w:val="003E15B4"/>
    <w:rsid w:val="003E1C96"/>
    <w:rsid w:val="003E1CBA"/>
    <w:rsid w:val="003E1F71"/>
    <w:rsid w:val="003E2279"/>
    <w:rsid w:val="003E266B"/>
    <w:rsid w:val="003E29DE"/>
    <w:rsid w:val="003E2B56"/>
    <w:rsid w:val="003E3ABA"/>
    <w:rsid w:val="003E455D"/>
    <w:rsid w:val="003E4B9D"/>
    <w:rsid w:val="003E5768"/>
    <w:rsid w:val="003E5B2E"/>
    <w:rsid w:val="003E5C8B"/>
    <w:rsid w:val="003E6089"/>
    <w:rsid w:val="003E63E5"/>
    <w:rsid w:val="003E6852"/>
    <w:rsid w:val="003E7392"/>
    <w:rsid w:val="003E73EB"/>
    <w:rsid w:val="003E74DF"/>
    <w:rsid w:val="003E785A"/>
    <w:rsid w:val="003E7860"/>
    <w:rsid w:val="003E7D66"/>
    <w:rsid w:val="003E7D93"/>
    <w:rsid w:val="003E7E3D"/>
    <w:rsid w:val="003F03FE"/>
    <w:rsid w:val="003F0771"/>
    <w:rsid w:val="003F0F21"/>
    <w:rsid w:val="003F1173"/>
    <w:rsid w:val="003F123E"/>
    <w:rsid w:val="003F13B3"/>
    <w:rsid w:val="003F22CA"/>
    <w:rsid w:val="003F2425"/>
    <w:rsid w:val="003F2900"/>
    <w:rsid w:val="003F292B"/>
    <w:rsid w:val="003F2B35"/>
    <w:rsid w:val="003F2D3D"/>
    <w:rsid w:val="003F2F54"/>
    <w:rsid w:val="003F3430"/>
    <w:rsid w:val="003F354C"/>
    <w:rsid w:val="003F3AE0"/>
    <w:rsid w:val="003F3BC5"/>
    <w:rsid w:val="003F492C"/>
    <w:rsid w:val="003F5615"/>
    <w:rsid w:val="003F56A9"/>
    <w:rsid w:val="003F6443"/>
    <w:rsid w:val="003F6490"/>
    <w:rsid w:val="003F7121"/>
    <w:rsid w:val="003F7169"/>
    <w:rsid w:val="003F77BC"/>
    <w:rsid w:val="003F786D"/>
    <w:rsid w:val="003F7A29"/>
    <w:rsid w:val="00400132"/>
    <w:rsid w:val="0040014B"/>
    <w:rsid w:val="00400171"/>
    <w:rsid w:val="00400802"/>
    <w:rsid w:val="00400E97"/>
    <w:rsid w:val="00400EC8"/>
    <w:rsid w:val="0040122B"/>
    <w:rsid w:val="00401F01"/>
    <w:rsid w:val="004024C9"/>
    <w:rsid w:val="0040253E"/>
    <w:rsid w:val="00402743"/>
    <w:rsid w:val="00403EA8"/>
    <w:rsid w:val="00404D1F"/>
    <w:rsid w:val="00405DCD"/>
    <w:rsid w:val="00405E60"/>
    <w:rsid w:val="0040644E"/>
    <w:rsid w:val="00406452"/>
    <w:rsid w:val="00406578"/>
    <w:rsid w:val="00406995"/>
    <w:rsid w:val="00406CA5"/>
    <w:rsid w:val="00406E7E"/>
    <w:rsid w:val="00407483"/>
    <w:rsid w:val="00407586"/>
    <w:rsid w:val="0040793A"/>
    <w:rsid w:val="00407C7F"/>
    <w:rsid w:val="00407CE5"/>
    <w:rsid w:val="00410429"/>
    <w:rsid w:val="00410E7B"/>
    <w:rsid w:val="0041108A"/>
    <w:rsid w:val="004113D4"/>
    <w:rsid w:val="00411578"/>
    <w:rsid w:val="00411D2C"/>
    <w:rsid w:val="00411F4F"/>
    <w:rsid w:val="00412A28"/>
    <w:rsid w:val="0041323A"/>
    <w:rsid w:val="00414949"/>
    <w:rsid w:val="00414B3B"/>
    <w:rsid w:val="00414EBD"/>
    <w:rsid w:val="004156F1"/>
    <w:rsid w:val="00415C0B"/>
    <w:rsid w:val="004162B1"/>
    <w:rsid w:val="004165DC"/>
    <w:rsid w:val="00416AEF"/>
    <w:rsid w:val="00416B45"/>
    <w:rsid w:val="00416D14"/>
    <w:rsid w:val="0041701A"/>
    <w:rsid w:val="00417B1D"/>
    <w:rsid w:val="00417C3C"/>
    <w:rsid w:val="00417D9F"/>
    <w:rsid w:val="004205E1"/>
    <w:rsid w:val="004209B7"/>
    <w:rsid w:val="0042197D"/>
    <w:rsid w:val="00421D1B"/>
    <w:rsid w:val="00421E4E"/>
    <w:rsid w:val="00421FD8"/>
    <w:rsid w:val="00422057"/>
    <w:rsid w:val="0042237F"/>
    <w:rsid w:val="00422D9E"/>
    <w:rsid w:val="00423735"/>
    <w:rsid w:val="00423EAD"/>
    <w:rsid w:val="00423F5D"/>
    <w:rsid w:val="00424365"/>
    <w:rsid w:val="00424483"/>
    <w:rsid w:val="004248E2"/>
    <w:rsid w:val="00424D09"/>
    <w:rsid w:val="00424E8C"/>
    <w:rsid w:val="0042562F"/>
    <w:rsid w:val="004268C3"/>
    <w:rsid w:val="00426A4D"/>
    <w:rsid w:val="00426A97"/>
    <w:rsid w:val="00426AA2"/>
    <w:rsid w:val="00426BFA"/>
    <w:rsid w:val="00426F66"/>
    <w:rsid w:val="004300A2"/>
    <w:rsid w:val="004304F5"/>
    <w:rsid w:val="004305E4"/>
    <w:rsid w:val="00430D70"/>
    <w:rsid w:val="0043121A"/>
    <w:rsid w:val="004316DE"/>
    <w:rsid w:val="00431D59"/>
    <w:rsid w:val="004326D1"/>
    <w:rsid w:val="00432D24"/>
    <w:rsid w:val="00432DD4"/>
    <w:rsid w:val="0043446D"/>
    <w:rsid w:val="00434C02"/>
    <w:rsid w:val="0043514A"/>
    <w:rsid w:val="004358DB"/>
    <w:rsid w:val="00435F65"/>
    <w:rsid w:val="0043623C"/>
    <w:rsid w:val="0043644E"/>
    <w:rsid w:val="004365AE"/>
    <w:rsid w:val="0043725B"/>
    <w:rsid w:val="00437834"/>
    <w:rsid w:val="004378B8"/>
    <w:rsid w:val="00437950"/>
    <w:rsid w:val="00437AC4"/>
    <w:rsid w:val="00437C2C"/>
    <w:rsid w:val="004405FA"/>
    <w:rsid w:val="0044077A"/>
    <w:rsid w:val="0044123F"/>
    <w:rsid w:val="004414EB"/>
    <w:rsid w:val="00441749"/>
    <w:rsid w:val="00441802"/>
    <w:rsid w:val="00441F64"/>
    <w:rsid w:val="00441FB8"/>
    <w:rsid w:val="004421E1"/>
    <w:rsid w:val="00442E1A"/>
    <w:rsid w:val="00442E8C"/>
    <w:rsid w:val="00443AAA"/>
    <w:rsid w:val="00443BAA"/>
    <w:rsid w:val="004440C2"/>
    <w:rsid w:val="00444597"/>
    <w:rsid w:val="00445633"/>
    <w:rsid w:val="00445C35"/>
    <w:rsid w:val="00445DBA"/>
    <w:rsid w:val="0044609E"/>
    <w:rsid w:val="004466C3"/>
    <w:rsid w:val="00446D08"/>
    <w:rsid w:val="00446D7A"/>
    <w:rsid w:val="00446F71"/>
    <w:rsid w:val="004470DE"/>
    <w:rsid w:val="0044712D"/>
    <w:rsid w:val="004501B9"/>
    <w:rsid w:val="00450470"/>
    <w:rsid w:val="00450604"/>
    <w:rsid w:val="00450A7C"/>
    <w:rsid w:val="00451696"/>
    <w:rsid w:val="0045185A"/>
    <w:rsid w:val="00452144"/>
    <w:rsid w:val="00452195"/>
    <w:rsid w:val="00453452"/>
    <w:rsid w:val="00453D4C"/>
    <w:rsid w:val="004541AC"/>
    <w:rsid w:val="0045435C"/>
    <w:rsid w:val="004546F5"/>
    <w:rsid w:val="004547F9"/>
    <w:rsid w:val="00454932"/>
    <w:rsid w:val="00454A59"/>
    <w:rsid w:val="00454D3E"/>
    <w:rsid w:val="00455106"/>
    <w:rsid w:val="0045549B"/>
    <w:rsid w:val="00456028"/>
    <w:rsid w:val="00456A1E"/>
    <w:rsid w:val="0045724E"/>
    <w:rsid w:val="0045750B"/>
    <w:rsid w:val="004601A6"/>
    <w:rsid w:val="004602F7"/>
    <w:rsid w:val="004603BB"/>
    <w:rsid w:val="00460DB4"/>
    <w:rsid w:val="004617EE"/>
    <w:rsid w:val="00461D61"/>
    <w:rsid w:val="004620D0"/>
    <w:rsid w:val="00462A23"/>
    <w:rsid w:val="00462AA0"/>
    <w:rsid w:val="00463248"/>
    <w:rsid w:val="00463496"/>
    <w:rsid w:val="004634A9"/>
    <w:rsid w:val="00463DDF"/>
    <w:rsid w:val="004643D6"/>
    <w:rsid w:val="0046450D"/>
    <w:rsid w:val="0046476B"/>
    <w:rsid w:val="00464D42"/>
    <w:rsid w:val="00464FA5"/>
    <w:rsid w:val="0046500E"/>
    <w:rsid w:val="0046544E"/>
    <w:rsid w:val="0046565B"/>
    <w:rsid w:val="0046577E"/>
    <w:rsid w:val="00465A54"/>
    <w:rsid w:val="00465F2D"/>
    <w:rsid w:val="00466184"/>
    <w:rsid w:val="00466437"/>
    <w:rsid w:val="00466632"/>
    <w:rsid w:val="004669B2"/>
    <w:rsid w:val="0046717A"/>
    <w:rsid w:val="0046717C"/>
    <w:rsid w:val="004673D9"/>
    <w:rsid w:val="00467BF4"/>
    <w:rsid w:val="00467F61"/>
    <w:rsid w:val="0047010E"/>
    <w:rsid w:val="00470442"/>
    <w:rsid w:val="00470E9A"/>
    <w:rsid w:val="0047136E"/>
    <w:rsid w:val="00471A18"/>
    <w:rsid w:val="00471AC6"/>
    <w:rsid w:val="00471C19"/>
    <w:rsid w:val="0047203B"/>
    <w:rsid w:val="004723D1"/>
    <w:rsid w:val="0047242D"/>
    <w:rsid w:val="00472782"/>
    <w:rsid w:val="0047285B"/>
    <w:rsid w:val="00472A2C"/>
    <w:rsid w:val="00472ACC"/>
    <w:rsid w:val="00472F5D"/>
    <w:rsid w:val="004731BC"/>
    <w:rsid w:val="004733E7"/>
    <w:rsid w:val="00474A34"/>
    <w:rsid w:val="0047541A"/>
    <w:rsid w:val="00475907"/>
    <w:rsid w:val="0047620B"/>
    <w:rsid w:val="004763E0"/>
    <w:rsid w:val="00477E70"/>
    <w:rsid w:val="00480204"/>
    <w:rsid w:val="00480719"/>
    <w:rsid w:val="00480B1E"/>
    <w:rsid w:val="00481FE1"/>
    <w:rsid w:val="00482271"/>
    <w:rsid w:val="00482B02"/>
    <w:rsid w:val="00483371"/>
    <w:rsid w:val="00483987"/>
    <w:rsid w:val="00483A63"/>
    <w:rsid w:val="00483D48"/>
    <w:rsid w:val="00483FA3"/>
    <w:rsid w:val="00483FCB"/>
    <w:rsid w:val="00484B9D"/>
    <w:rsid w:val="00484BC6"/>
    <w:rsid w:val="0048528B"/>
    <w:rsid w:val="0048540A"/>
    <w:rsid w:val="004854E9"/>
    <w:rsid w:val="004855BD"/>
    <w:rsid w:val="004859B2"/>
    <w:rsid w:val="00485D9F"/>
    <w:rsid w:val="00485E6A"/>
    <w:rsid w:val="004870C7"/>
    <w:rsid w:val="0048713A"/>
    <w:rsid w:val="00490503"/>
    <w:rsid w:val="00490742"/>
    <w:rsid w:val="004914CA"/>
    <w:rsid w:val="00491C6B"/>
    <w:rsid w:val="00491C9F"/>
    <w:rsid w:val="00492198"/>
    <w:rsid w:val="004923E4"/>
    <w:rsid w:val="004926C6"/>
    <w:rsid w:val="00492B76"/>
    <w:rsid w:val="00492CB5"/>
    <w:rsid w:val="00492E71"/>
    <w:rsid w:val="004932C0"/>
    <w:rsid w:val="004937E8"/>
    <w:rsid w:val="00493C90"/>
    <w:rsid w:val="00493DC8"/>
    <w:rsid w:val="00493F18"/>
    <w:rsid w:val="0049415E"/>
    <w:rsid w:val="004946C8"/>
    <w:rsid w:val="00494749"/>
    <w:rsid w:val="00494C24"/>
    <w:rsid w:val="00495218"/>
    <w:rsid w:val="00495BB7"/>
    <w:rsid w:val="00495CF0"/>
    <w:rsid w:val="00495EDC"/>
    <w:rsid w:val="004962CF"/>
    <w:rsid w:val="00496BD2"/>
    <w:rsid w:val="00496EDD"/>
    <w:rsid w:val="00497FBF"/>
    <w:rsid w:val="004A00E2"/>
    <w:rsid w:val="004A03A0"/>
    <w:rsid w:val="004A0464"/>
    <w:rsid w:val="004A046B"/>
    <w:rsid w:val="004A0527"/>
    <w:rsid w:val="004A1146"/>
    <w:rsid w:val="004A1157"/>
    <w:rsid w:val="004A1475"/>
    <w:rsid w:val="004A281B"/>
    <w:rsid w:val="004A311B"/>
    <w:rsid w:val="004A3369"/>
    <w:rsid w:val="004A39D9"/>
    <w:rsid w:val="004A3DFE"/>
    <w:rsid w:val="004A40AA"/>
    <w:rsid w:val="004A40E3"/>
    <w:rsid w:val="004A4107"/>
    <w:rsid w:val="004A54CF"/>
    <w:rsid w:val="004A574B"/>
    <w:rsid w:val="004A5852"/>
    <w:rsid w:val="004A59EE"/>
    <w:rsid w:val="004A63C1"/>
    <w:rsid w:val="004A6734"/>
    <w:rsid w:val="004A6F41"/>
    <w:rsid w:val="004A6F99"/>
    <w:rsid w:val="004A7D62"/>
    <w:rsid w:val="004B024E"/>
    <w:rsid w:val="004B13C1"/>
    <w:rsid w:val="004B153F"/>
    <w:rsid w:val="004B17AA"/>
    <w:rsid w:val="004B189A"/>
    <w:rsid w:val="004B1F50"/>
    <w:rsid w:val="004B20AE"/>
    <w:rsid w:val="004B276B"/>
    <w:rsid w:val="004B27DC"/>
    <w:rsid w:val="004B2B5C"/>
    <w:rsid w:val="004B2D0B"/>
    <w:rsid w:val="004B331C"/>
    <w:rsid w:val="004B41CC"/>
    <w:rsid w:val="004B49B7"/>
    <w:rsid w:val="004B4BE5"/>
    <w:rsid w:val="004B515A"/>
    <w:rsid w:val="004B612C"/>
    <w:rsid w:val="004B6303"/>
    <w:rsid w:val="004B69B5"/>
    <w:rsid w:val="004B6C12"/>
    <w:rsid w:val="004B70C2"/>
    <w:rsid w:val="004B719F"/>
    <w:rsid w:val="004B7231"/>
    <w:rsid w:val="004B7312"/>
    <w:rsid w:val="004B79B1"/>
    <w:rsid w:val="004B7D0D"/>
    <w:rsid w:val="004C059F"/>
    <w:rsid w:val="004C05DE"/>
    <w:rsid w:val="004C066B"/>
    <w:rsid w:val="004C0675"/>
    <w:rsid w:val="004C0680"/>
    <w:rsid w:val="004C0749"/>
    <w:rsid w:val="004C08C5"/>
    <w:rsid w:val="004C0C60"/>
    <w:rsid w:val="004C1065"/>
    <w:rsid w:val="004C10E9"/>
    <w:rsid w:val="004C127C"/>
    <w:rsid w:val="004C1DCA"/>
    <w:rsid w:val="004C2261"/>
    <w:rsid w:val="004C2C55"/>
    <w:rsid w:val="004C2CE5"/>
    <w:rsid w:val="004C2DEA"/>
    <w:rsid w:val="004C2E7E"/>
    <w:rsid w:val="004C314C"/>
    <w:rsid w:val="004C33C6"/>
    <w:rsid w:val="004C3717"/>
    <w:rsid w:val="004C3CE0"/>
    <w:rsid w:val="004C427B"/>
    <w:rsid w:val="004C42BE"/>
    <w:rsid w:val="004C454A"/>
    <w:rsid w:val="004C4C9A"/>
    <w:rsid w:val="004C4F40"/>
    <w:rsid w:val="004C52E0"/>
    <w:rsid w:val="004C708B"/>
    <w:rsid w:val="004C7878"/>
    <w:rsid w:val="004C7F9B"/>
    <w:rsid w:val="004D025E"/>
    <w:rsid w:val="004D03E2"/>
    <w:rsid w:val="004D1035"/>
    <w:rsid w:val="004D111F"/>
    <w:rsid w:val="004D16E4"/>
    <w:rsid w:val="004D1EBD"/>
    <w:rsid w:val="004D2095"/>
    <w:rsid w:val="004D279D"/>
    <w:rsid w:val="004D2A73"/>
    <w:rsid w:val="004D2BF7"/>
    <w:rsid w:val="004D2D60"/>
    <w:rsid w:val="004D2F82"/>
    <w:rsid w:val="004D3179"/>
    <w:rsid w:val="004D38A5"/>
    <w:rsid w:val="004D4334"/>
    <w:rsid w:val="004D52B7"/>
    <w:rsid w:val="004D581F"/>
    <w:rsid w:val="004D5988"/>
    <w:rsid w:val="004D65A9"/>
    <w:rsid w:val="004D6E9B"/>
    <w:rsid w:val="004D7623"/>
    <w:rsid w:val="004D7853"/>
    <w:rsid w:val="004D7A02"/>
    <w:rsid w:val="004D7E3E"/>
    <w:rsid w:val="004E1255"/>
    <w:rsid w:val="004E163A"/>
    <w:rsid w:val="004E1A4B"/>
    <w:rsid w:val="004E1C0F"/>
    <w:rsid w:val="004E1C6D"/>
    <w:rsid w:val="004E1FAC"/>
    <w:rsid w:val="004E202B"/>
    <w:rsid w:val="004E2CF9"/>
    <w:rsid w:val="004E3282"/>
    <w:rsid w:val="004E32F3"/>
    <w:rsid w:val="004E35AF"/>
    <w:rsid w:val="004E3D58"/>
    <w:rsid w:val="004E474F"/>
    <w:rsid w:val="004E4921"/>
    <w:rsid w:val="004E49D7"/>
    <w:rsid w:val="004E4A21"/>
    <w:rsid w:val="004E4AE0"/>
    <w:rsid w:val="004E4FF9"/>
    <w:rsid w:val="004E53D7"/>
    <w:rsid w:val="004E581E"/>
    <w:rsid w:val="004E5984"/>
    <w:rsid w:val="004E5B57"/>
    <w:rsid w:val="004E5B7D"/>
    <w:rsid w:val="004E5D22"/>
    <w:rsid w:val="004E637F"/>
    <w:rsid w:val="004E65EE"/>
    <w:rsid w:val="004E664E"/>
    <w:rsid w:val="004E6978"/>
    <w:rsid w:val="004E69BA"/>
    <w:rsid w:val="004E703E"/>
    <w:rsid w:val="004E76AD"/>
    <w:rsid w:val="004E7826"/>
    <w:rsid w:val="004E7AC9"/>
    <w:rsid w:val="004E7C49"/>
    <w:rsid w:val="004F02C7"/>
    <w:rsid w:val="004F05A5"/>
    <w:rsid w:val="004F0C52"/>
    <w:rsid w:val="004F0EEC"/>
    <w:rsid w:val="004F130A"/>
    <w:rsid w:val="004F148D"/>
    <w:rsid w:val="004F182F"/>
    <w:rsid w:val="004F187F"/>
    <w:rsid w:val="004F1895"/>
    <w:rsid w:val="004F2706"/>
    <w:rsid w:val="004F28ED"/>
    <w:rsid w:val="004F2985"/>
    <w:rsid w:val="004F2A0D"/>
    <w:rsid w:val="004F2A27"/>
    <w:rsid w:val="004F2A99"/>
    <w:rsid w:val="004F2BA8"/>
    <w:rsid w:val="004F2C39"/>
    <w:rsid w:val="004F2D0C"/>
    <w:rsid w:val="004F3109"/>
    <w:rsid w:val="004F3488"/>
    <w:rsid w:val="004F3A51"/>
    <w:rsid w:val="004F3AFC"/>
    <w:rsid w:val="004F3B77"/>
    <w:rsid w:val="004F4269"/>
    <w:rsid w:val="004F4B00"/>
    <w:rsid w:val="004F4BE2"/>
    <w:rsid w:val="004F4DD9"/>
    <w:rsid w:val="004F4EBD"/>
    <w:rsid w:val="004F530D"/>
    <w:rsid w:val="004F718F"/>
    <w:rsid w:val="004F7F0C"/>
    <w:rsid w:val="00500A1A"/>
    <w:rsid w:val="00500B8F"/>
    <w:rsid w:val="00500DF2"/>
    <w:rsid w:val="005013DF"/>
    <w:rsid w:val="0050143A"/>
    <w:rsid w:val="005015CF"/>
    <w:rsid w:val="00501ACB"/>
    <w:rsid w:val="00501B2E"/>
    <w:rsid w:val="0050227A"/>
    <w:rsid w:val="005022C0"/>
    <w:rsid w:val="0050245C"/>
    <w:rsid w:val="00502BB8"/>
    <w:rsid w:val="005033A4"/>
    <w:rsid w:val="005042D6"/>
    <w:rsid w:val="005046D4"/>
    <w:rsid w:val="00504F56"/>
    <w:rsid w:val="0050502B"/>
    <w:rsid w:val="00505275"/>
    <w:rsid w:val="00505585"/>
    <w:rsid w:val="0050627D"/>
    <w:rsid w:val="00506A39"/>
    <w:rsid w:val="00506C9C"/>
    <w:rsid w:val="005072DD"/>
    <w:rsid w:val="005079C5"/>
    <w:rsid w:val="00507CB2"/>
    <w:rsid w:val="005103B1"/>
    <w:rsid w:val="00510412"/>
    <w:rsid w:val="005106F3"/>
    <w:rsid w:val="00510C42"/>
    <w:rsid w:val="005114DF"/>
    <w:rsid w:val="00511D66"/>
    <w:rsid w:val="00512474"/>
    <w:rsid w:val="0051274E"/>
    <w:rsid w:val="00512A3A"/>
    <w:rsid w:val="00512A7C"/>
    <w:rsid w:val="00512B39"/>
    <w:rsid w:val="00513420"/>
    <w:rsid w:val="00513D34"/>
    <w:rsid w:val="00513EE9"/>
    <w:rsid w:val="00514147"/>
    <w:rsid w:val="005142F8"/>
    <w:rsid w:val="00514555"/>
    <w:rsid w:val="00514928"/>
    <w:rsid w:val="00514F9D"/>
    <w:rsid w:val="00515394"/>
    <w:rsid w:val="005156ED"/>
    <w:rsid w:val="005160A2"/>
    <w:rsid w:val="00516797"/>
    <w:rsid w:val="0051694E"/>
    <w:rsid w:val="005169FC"/>
    <w:rsid w:val="00516BD6"/>
    <w:rsid w:val="00517108"/>
    <w:rsid w:val="00517C88"/>
    <w:rsid w:val="005203F2"/>
    <w:rsid w:val="00520701"/>
    <w:rsid w:val="00520A61"/>
    <w:rsid w:val="0052111B"/>
    <w:rsid w:val="005214C9"/>
    <w:rsid w:val="00521598"/>
    <w:rsid w:val="0052183C"/>
    <w:rsid w:val="00521AC6"/>
    <w:rsid w:val="00521FA0"/>
    <w:rsid w:val="0052260A"/>
    <w:rsid w:val="00522997"/>
    <w:rsid w:val="00522AD1"/>
    <w:rsid w:val="00522F3F"/>
    <w:rsid w:val="00523134"/>
    <w:rsid w:val="005235C8"/>
    <w:rsid w:val="00523728"/>
    <w:rsid w:val="00524DF9"/>
    <w:rsid w:val="005250C0"/>
    <w:rsid w:val="005255F4"/>
    <w:rsid w:val="00525831"/>
    <w:rsid w:val="00525F36"/>
    <w:rsid w:val="00525F93"/>
    <w:rsid w:val="00525FCE"/>
    <w:rsid w:val="005266A7"/>
    <w:rsid w:val="005266C9"/>
    <w:rsid w:val="0052677E"/>
    <w:rsid w:val="005274AB"/>
    <w:rsid w:val="005279BA"/>
    <w:rsid w:val="00527E46"/>
    <w:rsid w:val="00527E48"/>
    <w:rsid w:val="00527E4D"/>
    <w:rsid w:val="005301E8"/>
    <w:rsid w:val="00530606"/>
    <w:rsid w:val="00530A60"/>
    <w:rsid w:val="005317E6"/>
    <w:rsid w:val="0053197A"/>
    <w:rsid w:val="005319A3"/>
    <w:rsid w:val="00531C25"/>
    <w:rsid w:val="0053213E"/>
    <w:rsid w:val="00532410"/>
    <w:rsid w:val="00532524"/>
    <w:rsid w:val="005325D0"/>
    <w:rsid w:val="00532951"/>
    <w:rsid w:val="005335D9"/>
    <w:rsid w:val="005339C9"/>
    <w:rsid w:val="00533DE5"/>
    <w:rsid w:val="00533EC7"/>
    <w:rsid w:val="00533ED1"/>
    <w:rsid w:val="0053408E"/>
    <w:rsid w:val="005349A3"/>
    <w:rsid w:val="00535497"/>
    <w:rsid w:val="00535750"/>
    <w:rsid w:val="00535A9C"/>
    <w:rsid w:val="00535C02"/>
    <w:rsid w:val="00535CA4"/>
    <w:rsid w:val="00536189"/>
    <w:rsid w:val="005363F5"/>
    <w:rsid w:val="00536640"/>
    <w:rsid w:val="005369DE"/>
    <w:rsid w:val="00536C2B"/>
    <w:rsid w:val="00536E7F"/>
    <w:rsid w:val="00537145"/>
    <w:rsid w:val="0053772A"/>
    <w:rsid w:val="00537C91"/>
    <w:rsid w:val="00537D50"/>
    <w:rsid w:val="00537E2E"/>
    <w:rsid w:val="00540C4F"/>
    <w:rsid w:val="0054119D"/>
    <w:rsid w:val="005416AE"/>
    <w:rsid w:val="0054170B"/>
    <w:rsid w:val="00541AC6"/>
    <w:rsid w:val="00541C73"/>
    <w:rsid w:val="00541E6F"/>
    <w:rsid w:val="00541ED7"/>
    <w:rsid w:val="00542026"/>
    <w:rsid w:val="005421E0"/>
    <w:rsid w:val="0054268D"/>
    <w:rsid w:val="00542C07"/>
    <w:rsid w:val="00542ED9"/>
    <w:rsid w:val="005435D1"/>
    <w:rsid w:val="0054375D"/>
    <w:rsid w:val="00543A83"/>
    <w:rsid w:val="00543B41"/>
    <w:rsid w:val="00543B9B"/>
    <w:rsid w:val="00544099"/>
    <w:rsid w:val="00544EF1"/>
    <w:rsid w:val="00544F78"/>
    <w:rsid w:val="00545077"/>
    <w:rsid w:val="00545728"/>
    <w:rsid w:val="00545F8E"/>
    <w:rsid w:val="00546169"/>
    <w:rsid w:val="005464E9"/>
    <w:rsid w:val="0054685E"/>
    <w:rsid w:val="0054733C"/>
    <w:rsid w:val="0054791C"/>
    <w:rsid w:val="00547E3A"/>
    <w:rsid w:val="0055000C"/>
    <w:rsid w:val="005506A1"/>
    <w:rsid w:val="005507B6"/>
    <w:rsid w:val="00550B07"/>
    <w:rsid w:val="00550BAE"/>
    <w:rsid w:val="00550D8E"/>
    <w:rsid w:val="00550F98"/>
    <w:rsid w:val="0055115E"/>
    <w:rsid w:val="005517F0"/>
    <w:rsid w:val="00552012"/>
    <w:rsid w:val="0055246C"/>
    <w:rsid w:val="0055273C"/>
    <w:rsid w:val="00552F78"/>
    <w:rsid w:val="00553D4C"/>
    <w:rsid w:val="005547C6"/>
    <w:rsid w:val="00554D82"/>
    <w:rsid w:val="005550B6"/>
    <w:rsid w:val="005557EC"/>
    <w:rsid w:val="00555BEB"/>
    <w:rsid w:val="00555F2A"/>
    <w:rsid w:val="00555F8F"/>
    <w:rsid w:val="00555FEC"/>
    <w:rsid w:val="0055612B"/>
    <w:rsid w:val="005561F1"/>
    <w:rsid w:val="00556585"/>
    <w:rsid w:val="00556C0D"/>
    <w:rsid w:val="00556D02"/>
    <w:rsid w:val="00556F17"/>
    <w:rsid w:val="00556F2B"/>
    <w:rsid w:val="005576E4"/>
    <w:rsid w:val="00557C92"/>
    <w:rsid w:val="00557DF6"/>
    <w:rsid w:val="00560154"/>
    <w:rsid w:val="00560175"/>
    <w:rsid w:val="0056038A"/>
    <w:rsid w:val="005607F6"/>
    <w:rsid w:val="00560D3E"/>
    <w:rsid w:val="00560DDD"/>
    <w:rsid w:val="00561253"/>
    <w:rsid w:val="0056147F"/>
    <w:rsid w:val="005617D9"/>
    <w:rsid w:val="005618BB"/>
    <w:rsid w:val="005621F7"/>
    <w:rsid w:val="00562B53"/>
    <w:rsid w:val="00563611"/>
    <w:rsid w:val="005636AF"/>
    <w:rsid w:val="0056378E"/>
    <w:rsid w:val="005637A8"/>
    <w:rsid w:val="00563CE2"/>
    <w:rsid w:val="00563ED4"/>
    <w:rsid w:val="005640F8"/>
    <w:rsid w:val="0056414D"/>
    <w:rsid w:val="00564787"/>
    <w:rsid w:val="0056539A"/>
    <w:rsid w:val="00565B7D"/>
    <w:rsid w:val="00565BB3"/>
    <w:rsid w:val="005669A4"/>
    <w:rsid w:val="0056703B"/>
    <w:rsid w:val="0056722A"/>
    <w:rsid w:val="0056796C"/>
    <w:rsid w:val="00567A64"/>
    <w:rsid w:val="00567BB2"/>
    <w:rsid w:val="00567DB7"/>
    <w:rsid w:val="00567F04"/>
    <w:rsid w:val="005702B3"/>
    <w:rsid w:val="005707F8"/>
    <w:rsid w:val="00570844"/>
    <w:rsid w:val="00570B09"/>
    <w:rsid w:val="00570E55"/>
    <w:rsid w:val="005715A4"/>
    <w:rsid w:val="005719B4"/>
    <w:rsid w:val="00571EDC"/>
    <w:rsid w:val="005722AF"/>
    <w:rsid w:val="00572387"/>
    <w:rsid w:val="005724DA"/>
    <w:rsid w:val="00572674"/>
    <w:rsid w:val="005728DE"/>
    <w:rsid w:val="00572905"/>
    <w:rsid w:val="00572F3B"/>
    <w:rsid w:val="00573AC4"/>
    <w:rsid w:val="00573EC0"/>
    <w:rsid w:val="00573FB1"/>
    <w:rsid w:val="00574A47"/>
    <w:rsid w:val="005751FA"/>
    <w:rsid w:val="00575698"/>
    <w:rsid w:val="0057578A"/>
    <w:rsid w:val="00575820"/>
    <w:rsid w:val="00575BFE"/>
    <w:rsid w:val="0057611C"/>
    <w:rsid w:val="00576D6B"/>
    <w:rsid w:val="00576E59"/>
    <w:rsid w:val="005772B9"/>
    <w:rsid w:val="0057778E"/>
    <w:rsid w:val="00577B0B"/>
    <w:rsid w:val="00577B75"/>
    <w:rsid w:val="00577C2F"/>
    <w:rsid w:val="00577C93"/>
    <w:rsid w:val="00577EE8"/>
    <w:rsid w:val="0058006A"/>
    <w:rsid w:val="00580096"/>
    <w:rsid w:val="00580408"/>
    <w:rsid w:val="00580530"/>
    <w:rsid w:val="00580730"/>
    <w:rsid w:val="00580770"/>
    <w:rsid w:val="005808AC"/>
    <w:rsid w:val="00581007"/>
    <w:rsid w:val="00581DB5"/>
    <w:rsid w:val="00582EA0"/>
    <w:rsid w:val="005836E5"/>
    <w:rsid w:val="00583734"/>
    <w:rsid w:val="00584522"/>
    <w:rsid w:val="005848A6"/>
    <w:rsid w:val="00584D8D"/>
    <w:rsid w:val="0058527E"/>
    <w:rsid w:val="00585565"/>
    <w:rsid w:val="005859CD"/>
    <w:rsid w:val="00585C82"/>
    <w:rsid w:val="0058627A"/>
    <w:rsid w:val="005862BB"/>
    <w:rsid w:val="005862CE"/>
    <w:rsid w:val="00586716"/>
    <w:rsid w:val="00586A91"/>
    <w:rsid w:val="00586AC4"/>
    <w:rsid w:val="00587248"/>
    <w:rsid w:val="0058768C"/>
    <w:rsid w:val="005876A4"/>
    <w:rsid w:val="00587ED4"/>
    <w:rsid w:val="00590EC3"/>
    <w:rsid w:val="005910E1"/>
    <w:rsid w:val="00591868"/>
    <w:rsid w:val="00591D26"/>
    <w:rsid w:val="00591D7F"/>
    <w:rsid w:val="005927D2"/>
    <w:rsid w:val="00593402"/>
    <w:rsid w:val="005936CF"/>
    <w:rsid w:val="00594316"/>
    <w:rsid w:val="005943B6"/>
    <w:rsid w:val="00594499"/>
    <w:rsid w:val="0059479C"/>
    <w:rsid w:val="005957B5"/>
    <w:rsid w:val="00595A23"/>
    <w:rsid w:val="00596105"/>
    <w:rsid w:val="00596316"/>
    <w:rsid w:val="00596374"/>
    <w:rsid w:val="005966D3"/>
    <w:rsid w:val="00596F55"/>
    <w:rsid w:val="0059774D"/>
    <w:rsid w:val="00597A09"/>
    <w:rsid w:val="00597C3A"/>
    <w:rsid w:val="00597DEC"/>
    <w:rsid w:val="005A0163"/>
    <w:rsid w:val="005A0367"/>
    <w:rsid w:val="005A073A"/>
    <w:rsid w:val="005A09BF"/>
    <w:rsid w:val="005A0B3C"/>
    <w:rsid w:val="005A1227"/>
    <w:rsid w:val="005A1B0C"/>
    <w:rsid w:val="005A1C30"/>
    <w:rsid w:val="005A238E"/>
    <w:rsid w:val="005A2AA6"/>
    <w:rsid w:val="005A2B5D"/>
    <w:rsid w:val="005A2BE1"/>
    <w:rsid w:val="005A2ED2"/>
    <w:rsid w:val="005A2FB6"/>
    <w:rsid w:val="005A3205"/>
    <w:rsid w:val="005A4709"/>
    <w:rsid w:val="005A5282"/>
    <w:rsid w:val="005A5463"/>
    <w:rsid w:val="005A558C"/>
    <w:rsid w:val="005A5BAF"/>
    <w:rsid w:val="005A5BCA"/>
    <w:rsid w:val="005A5CD9"/>
    <w:rsid w:val="005A6F8D"/>
    <w:rsid w:val="005A7391"/>
    <w:rsid w:val="005A7695"/>
    <w:rsid w:val="005A7714"/>
    <w:rsid w:val="005A780E"/>
    <w:rsid w:val="005A7882"/>
    <w:rsid w:val="005A7B3E"/>
    <w:rsid w:val="005A7CDC"/>
    <w:rsid w:val="005B0195"/>
    <w:rsid w:val="005B0229"/>
    <w:rsid w:val="005B06E4"/>
    <w:rsid w:val="005B0D15"/>
    <w:rsid w:val="005B18BE"/>
    <w:rsid w:val="005B1F35"/>
    <w:rsid w:val="005B211D"/>
    <w:rsid w:val="005B2392"/>
    <w:rsid w:val="005B27BF"/>
    <w:rsid w:val="005B2852"/>
    <w:rsid w:val="005B2AF4"/>
    <w:rsid w:val="005B35B0"/>
    <w:rsid w:val="005B3695"/>
    <w:rsid w:val="005B39B9"/>
    <w:rsid w:val="005B3A7B"/>
    <w:rsid w:val="005B4064"/>
    <w:rsid w:val="005B4071"/>
    <w:rsid w:val="005B47FC"/>
    <w:rsid w:val="005B4C71"/>
    <w:rsid w:val="005B52CA"/>
    <w:rsid w:val="005B57B8"/>
    <w:rsid w:val="005B5B2E"/>
    <w:rsid w:val="005B5F67"/>
    <w:rsid w:val="005B632E"/>
    <w:rsid w:val="005B6E15"/>
    <w:rsid w:val="005B6EDE"/>
    <w:rsid w:val="005B7564"/>
    <w:rsid w:val="005B772B"/>
    <w:rsid w:val="005C014E"/>
    <w:rsid w:val="005C03B2"/>
    <w:rsid w:val="005C105E"/>
    <w:rsid w:val="005C1B34"/>
    <w:rsid w:val="005C1F44"/>
    <w:rsid w:val="005C2467"/>
    <w:rsid w:val="005C426F"/>
    <w:rsid w:val="005C44F6"/>
    <w:rsid w:val="005C482E"/>
    <w:rsid w:val="005C48B4"/>
    <w:rsid w:val="005C4D89"/>
    <w:rsid w:val="005C526E"/>
    <w:rsid w:val="005C572C"/>
    <w:rsid w:val="005C58E3"/>
    <w:rsid w:val="005C5B75"/>
    <w:rsid w:val="005C620C"/>
    <w:rsid w:val="005C6299"/>
    <w:rsid w:val="005C637A"/>
    <w:rsid w:val="005C69EB"/>
    <w:rsid w:val="005C7701"/>
    <w:rsid w:val="005C7C21"/>
    <w:rsid w:val="005C7D89"/>
    <w:rsid w:val="005D0B7F"/>
    <w:rsid w:val="005D0C12"/>
    <w:rsid w:val="005D0C5A"/>
    <w:rsid w:val="005D1077"/>
    <w:rsid w:val="005D13FF"/>
    <w:rsid w:val="005D15F2"/>
    <w:rsid w:val="005D1A4B"/>
    <w:rsid w:val="005D1C2D"/>
    <w:rsid w:val="005D22FD"/>
    <w:rsid w:val="005D2B18"/>
    <w:rsid w:val="005D321F"/>
    <w:rsid w:val="005D330B"/>
    <w:rsid w:val="005D352D"/>
    <w:rsid w:val="005D3A6F"/>
    <w:rsid w:val="005D4312"/>
    <w:rsid w:val="005D44C4"/>
    <w:rsid w:val="005D4830"/>
    <w:rsid w:val="005D4F97"/>
    <w:rsid w:val="005D51BE"/>
    <w:rsid w:val="005D5326"/>
    <w:rsid w:val="005D5945"/>
    <w:rsid w:val="005D6B4F"/>
    <w:rsid w:val="005D6EEC"/>
    <w:rsid w:val="005D7001"/>
    <w:rsid w:val="005D77E2"/>
    <w:rsid w:val="005D7F36"/>
    <w:rsid w:val="005E00A2"/>
    <w:rsid w:val="005E0560"/>
    <w:rsid w:val="005E060C"/>
    <w:rsid w:val="005E0DFE"/>
    <w:rsid w:val="005E11D3"/>
    <w:rsid w:val="005E1246"/>
    <w:rsid w:val="005E1454"/>
    <w:rsid w:val="005E218B"/>
    <w:rsid w:val="005E258D"/>
    <w:rsid w:val="005E278A"/>
    <w:rsid w:val="005E28E2"/>
    <w:rsid w:val="005E29B9"/>
    <w:rsid w:val="005E2C84"/>
    <w:rsid w:val="005E2DCC"/>
    <w:rsid w:val="005E2F94"/>
    <w:rsid w:val="005E310B"/>
    <w:rsid w:val="005E36C4"/>
    <w:rsid w:val="005E3913"/>
    <w:rsid w:val="005E433C"/>
    <w:rsid w:val="005E4534"/>
    <w:rsid w:val="005E4982"/>
    <w:rsid w:val="005E4C83"/>
    <w:rsid w:val="005E5190"/>
    <w:rsid w:val="005E527F"/>
    <w:rsid w:val="005E58ED"/>
    <w:rsid w:val="005E5D71"/>
    <w:rsid w:val="005E5FBE"/>
    <w:rsid w:val="005E6206"/>
    <w:rsid w:val="005E651C"/>
    <w:rsid w:val="005E6D31"/>
    <w:rsid w:val="005E77D3"/>
    <w:rsid w:val="005E7BED"/>
    <w:rsid w:val="005E7E35"/>
    <w:rsid w:val="005E7FA6"/>
    <w:rsid w:val="005F0B16"/>
    <w:rsid w:val="005F0D8C"/>
    <w:rsid w:val="005F0DF9"/>
    <w:rsid w:val="005F0E51"/>
    <w:rsid w:val="005F145D"/>
    <w:rsid w:val="005F1DD5"/>
    <w:rsid w:val="005F2201"/>
    <w:rsid w:val="005F28F9"/>
    <w:rsid w:val="005F2BFF"/>
    <w:rsid w:val="005F2E51"/>
    <w:rsid w:val="005F3015"/>
    <w:rsid w:val="005F3465"/>
    <w:rsid w:val="005F393D"/>
    <w:rsid w:val="005F3B4D"/>
    <w:rsid w:val="005F3C83"/>
    <w:rsid w:val="005F41A2"/>
    <w:rsid w:val="005F41B2"/>
    <w:rsid w:val="005F42EA"/>
    <w:rsid w:val="005F448D"/>
    <w:rsid w:val="005F471B"/>
    <w:rsid w:val="005F48B6"/>
    <w:rsid w:val="005F517F"/>
    <w:rsid w:val="005F5541"/>
    <w:rsid w:val="005F6003"/>
    <w:rsid w:val="005F6572"/>
    <w:rsid w:val="005F6745"/>
    <w:rsid w:val="005F67B4"/>
    <w:rsid w:val="005F69DB"/>
    <w:rsid w:val="005F6AD4"/>
    <w:rsid w:val="005F6F56"/>
    <w:rsid w:val="005F7D75"/>
    <w:rsid w:val="005F7F03"/>
    <w:rsid w:val="006003B3"/>
    <w:rsid w:val="00600E38"/>
    <w:rsid w:val="00601376"/>
    <w:rsid w:val="006013CB"/>
    <w:rsid w:val="00601A3D"/>
    <w:rsid w:val="00601F6D"/>
    <w:rsid w:val="006028BD"/>
    <w:rsid w:val="00602EAA"/>
    <w:rsid w:val="00602F1A"/>
    <w:rsid w:val="006033A9"/>
    <w:rsid w:val="00603A45"/>
    <w:rsid w:val="00604002"/>
    <w:rsid w:val="006049B6"/>
    <w:rsid w:val="00604B1F"/>
    <w:rsid w:val="00604CFF"/>
    <w:rsid w:val="00604F06"/>
    <w:rsid w:val="00605567"/>
    <w:rsid w:val="006058C4"/>
    <w:rsid w:val="006064A1"/>
    <w:rsid w:val="0060681E"/>
    <w:rsid w:val="00606BE6"/>
    <w:rsid w:val="006103EB"/>
    <w:rsid w:val="00610567"/>
    <w:rsid w:val="0061064E"/>
    <w:rsid w:val="006108C3"/>
    <w:rsid w:val="00611081"/>
    <w:rsid w:val="00611364"/>
    <w:rsid w:val="00611614"/>
    <w:rsid w:val="00611FE1"/>
    <w:rsid w:val="006121FA"/>
    <w:rsid w:val="0061266E"/>
    <w:rsid w:val="006126B3"/>
    <w:rsid w:val="00612959"/>
    <w:rsid w:val="00612C46"/>
    <w:rsid w:val="006130D4"/>
    <w:rsid w:val="0061335F"/>
    <w:rsid w:val="006134F6"/>
    <w:rsid w:val="00614188"/>
    <w:rsid w:val="00615799"/>
    <w:rsid w:val="00615AD2"/>
    <w:rsid w:val="00615C9C"/>
    <w:rsid w:val="00615FEA"/>
    <w:rsid w:val="0061631C"/>
    <w:rsid w:val="0061687B"/>
    <w:rsid w:val="006176EA"/>
    <w:rsid w:val="006206C5"/>
    <w:rsid w:val="006208E6"/>
    <w:rsid w:val="00620FB1"/>
    <w:rsid w:val="006214BF"/>
    <w:rsid w:val="00621613"/>
    <w:rsid w:val="00621653"/>
    <w:rsid w:val="00621DA5"/>
    <w:rsid w:val="00621F8E"/>
    <w:rsid w:val="00622073"/>
    <w:rsid w:val="006223A4"/>
    <w:rsid w:val="00622873"/>
    <w:rsid w:val="00622AD0"/>
    <w:rsid w:val="006243B2"/>
    <w:rsid w:val="006244A3"/>
    <w:rsid w:val="00624591"/>
    <w:rsid w:val="006245C6"/>
    <w:rsid w:val="00624A78"/>
    <w:rsid w:val="006252B9"/>
    <w:rsid w:val="0062539C"/>
    <w:rsid w:val="006255AC"/>
    <w:rsid w:val="0062574A"/>
    <w:rsid w:val="0062598B"/>
    <w:rsid w:val="00625AA2"/>
    <w:rsid w:val="00625D19"/>
    <w:rsid w:val="00625D5D"/>
    <w:rsid w:val="00625EAB"/>
    <w:rsid w:val="0062620B"/>
    <w:rsid w:val="00626358"/>
    <w:rsid w:val="0062685C"/>
    <w:rsid w:val="00626ABF"/>
    <w:rsid w:val="00626B6E"/>
    <w:rsid w:val="00626C60"/>
    <w:rsid w:val="00626FD3"/>
    <w:rsid w:val="00627270"/>
    <w:rsid w:val="006277EE"/>
    <w:rsid w:val="00627A38"/>
    <w:rsid w:val="00627A89"/>
    <w:rsid w:val="006303DA"/>
    <w:rsid w:val="0063048E"/>
    <w:rsid w:val="00630A6D"/>
    <w:rsid w:val="00630AF6"/>
    <w:rsid w:val="00630B28"/>
    <w:rsid w:val="006310B1"/>
    <w:rsid w:val="006312F3"/>
    <w:rsid w:val="00631301"/>
    <w:rsid w:val="006316F2"/>
    <w:rsid w:val="0063265D"/>
    <w:rsid w:val="00632BC5"/>
    <w:rsid w:val="00632C85"/>
    <w:rsid w:val="00633BA5"/>
    <w:rsid w:val="00633BAF"/>
    <w:rsid w:val="0063409C"/>
    <w:rsid w:val="0063442A"/>
    <w:rsid w:val="0063448F"/>
    <w:rsid w:val="0063452E"/>
    <w:rsid w:val="00634920"/>
    <w:rsid w:val="00634C6E"/>
    <w:rsid w:val="0063514C"/>
    <w:rsid w:val="006352BB"/>
    <w:rsid w:val="006353F2"/>
    <w:rsid w:val="00635405"/>
    <w:rsid w:val="00635455"/>
    <w:rsid w:val="0063568A"/>
    <w:rsid w:val="006357C6"/>
    <w:rsid w:val="00635A09"/>
    <w:rsid w:val="00635A28"/>
    <w:rsid w:val="00635D95"/>
    <w:rsid w:val="00636010"/>
    <w:rsid w:val="00636252"/>
    <w:rsid w:val="00636318"/>
    <w:rsid w:val="006364A0"/>
    <w:rsid w:val="006367A0"/>
    <w:rsid w:val="006368D7"/>
    <w:rsid w:val="00637472"/>
    <w:rsid w:val="0063796B"/>
    <w:rsid w:val="00637FED"/>
    <w:rsid w:val="006406BA"/>
    <w:rsid w:val="006407FF"/>
    <w:rsid w:val="00640B3F"/>
    <w:rsid w:val="006414DC"/>
    <w:rsid w:val="00641CC1"/>
    <w:rsid w:val="0064237A"/>
    <w:rsid w:val="006423C0"/>
    <w:rsid w:val="0064244B"/>
    <w:rsid w:val="00642788"/>
    <w:rsid w:val="006428D0"/>
    <w:rsid w:val="00642B2B"/>
    <w:rsid w:val="006438FE"/>
    <w:rsid w:val="00643966"/>
    <w:rsid w:val="00643EF7"/>
    <w:rsid w:val="00644694"/>
    <w:rsid w:val="00645A0A"/>
    <w:rsid w:val="00645A9F"/>
    <w:rsid w:val="00645E00"/>
    <w:rsid w:val="00645F6C"/>
    <w:rsid w:val="00646055"/>
    <w:rsid w:val="006469AA"/>
    <w:rsid w:val="00647AD9"/>
    <w:rsid w:val="00647E1F"/>
    <w:rsid w:val="00647FE3"/>
    <w:rsid w:val="006508A6"/>
    <w:rsid w:val="00650D2A"/>
    <w:rsid w:val="00650F25"/>
    <w:rsid w:val="00651161"/>
    <w:rsid w:val="006512C4"/>
    <w:rsid w:val="0065154C"/>
    <w:rsid w:val="006518AC"/>
    <w:rsid w:val="00652BD9"/>
    <w:rsid w:val="00653294"/>
    <w:rsid w:val="006535C8"/>
    <w:rsid w:val="00653AB6"/>
    <w:rsid w:val="0065459C"/>
    <w:rsid w:val="00654D16"/>
    <w:rsid w:val="006550C1"/>
    <w:rsid w:val="0065558C"/>
    <w:rsid w:val="00655758"/>
    <w:rsid w:val="006559DA"/>
    <w:rsid w:val="00655B9D"/>
    <w:rsid w:val="00656B40"/>
    <w:rsid w:val="00656CBB"/>
    <w:rsid w:val="00656DA1"/>
    <w:rsid w:val="00656F05"/>
    <w:rsid w:val="006570AE"/>
    <w:rsid w:val="006576E3"/>
    <w:rsid w:val="006579A4"/>
    <w:rsid w:val="00660167"/>
    <w:rsid w:val="006606D0"/>
    <w:rsid w:val="006608BD"/>
    <w:rsid w:val="006613D1"/>
    <w:rsid w:val="006614DA"/>
    <w:rsid w:val="006615C8"/>
    <w:rsid w:val="00661989"/>
    <w:rsid w:val="0066278E"/>
    <w:rsid w:val="00662D3D"/>
    <w:rsid w:val="00663226"/>
    <w:rsid w:val="006640E0"/>
    <w:rsid w:val="0066422B"/>
    <w:rsid w:val="006642E3"/>
    <w:rsid w:val="0066468D"/>
    <w:rsid w:val="00664BAE"/>
    <w:rsid w:val="00665516"/>
    <w:rsid w:val="0066587B"/>
    <w:rsid w:val="00665935"/>
    <w:rsid w:val="00665AC8"/>
    <w:rsid w:val="00665E01"/>
    <w:rsid w:val="00665E45"/>
    <w:rsid w:val="00665EA0"/>
    <w:rsid w:val="00665FAC"/>
    <w:rsid w:val="00666992"/>
    <w:rsid w:val="006669D4"/>
    <w:rsid w:val="00666A76"/>
    <w:rsid w:val="006674A2"/>
    <w:rsid w:val="00667627"/>
    <w:rsid w:val="00667B10"/>
    <w:rsid w:val="00667E02"/>
    <w:rsid w:val="00667E9E"/>
    <w:rsid w:val="00667FB5"/>
    <w:rsid w:val="00670138"/>
    <w:rsid w:val="006703D0"/>
    <w:rsid w:val="00670466"/>
    <w:rsid w:val="0067060B"/>
    <w:rsid w:val="00670823"/>
    <w:rsid w:val="00670B57"/>
    <w:rsid w:val="00670C06"/>
    <w:rsid w:val="00671017"/>
    <w:rsid w:val="006712AE"/>
    <w:rsid w:val="00671EF0"/>
    <w:rsid w:val="00672486"/>
    <w:rsid w:val="00672DD1"/>
    <w:rsid w:val="00672EC3"/>
    <w:rsid w:val="00672FF8"/>
    <w:rsid w:val="00673472"/>
    <w:rsid w:val="00673CE8"/>
    <w:rsid w:val="00673DBE"/>
    <w:rsid w:val="00674C8F"/>
    <w:rsid w:val="00675432"/>
    <w:rsid w:val="00675B3D"/>
    <w:rsid w:val="00675D07"/>
    <w:rsid w:val="00675E8C"/>
    <w:rsid w:val="00676623"/>
    <w:rsid w:val="00677513"/>
    <w:rsid w:val="0067783C"/>
    <w:rsid w:val="00677E08"/>
    <w:rsid w:val="00680080"/>
    <w:rsid w:val="00680685"/>
    <w:rsid w:val="006806D3"/>
    <w:rsid w:val="006809A4"/>
    <w:rsid w:val="00680ECF"/>
    <w:rsid w:val="00681937"/>
    <w:rsid w:val="00681BB9"/>
    <w:rsid w:val="006820B2"/>
    <w:rsid w:val="006820C5"/>
    <w:rsid w:val="00682175"/>
    <w:rsid w:val="0068219D"/>
    <w:rsid w:val="006827E0"/>
    <w:rsid w:val="0068291C"/>
    <w:rsid w:val="00682A53"/>
    <w:rsid w:val="00682B09"/>
    <w:rsid w:val="00682B6A"/>
    <w:rsid w:val="00682D89"/>
    <w:rsid w:val="00682E0D"/>
    <w:rsid w:val="0068307F"/>
    <w:rsid w:val="006830DD"/>
    <w:rsid w:val="0068369F"/>
    <w:rsid w:val="00683743"/>
    <w:rsid w:val="0068382C"/>
    <w:rsid w:val="00683A9C"/>
    <w:rsid w:val="00683BC5"/>
    <w:rsid w:val="00683DBA"/>
    <w:rsid w:val="006843B8"/>
    <w:rsid w:val="0068474C"/>
    <w:rsid w:val="00684999"/>
    <w:rsid w:val="00684B3A"/>
    <w:rsid w:val="00685432"/>
    <w:rsid w:val="006856A7"/>
    <w:rsid w:val="0068641E"/>
    <w:rsid w:val="0068646D"/>
    <w:rsid w:val="006866E3"/>
    <w:rsid w:val="006868FC"/>
    <w:rsid w:val="00686B65"/>
    <w:rsid w:val="00686D80"/>
    <w:rsid w:val="00687718"/>
    <w:rsid w:val="00687FFB"/>
    <w:rsid w:val="0069012A"/>
    <w:rsid w:val="006903B1"/>
    <w:rsid w:val="00690501"/>
    <w:rsid w:val="00690B13"/>
    <w:rsid w:val="00691110"/>
    <w:rsid w:val="0069115B"/>
    <w:rsid w:val="006914F8"/>
    <w:rsid w:val="006915DE"/>
    <w:rsid w:val="00691D2F"/>
    <w:rsid w:val="006921E6"/>
    <w:rsid w:val="006925C3"/>
    <w:rsid w:val="00692602"/>
    <w:rsid w:val="00692B95"/>
    <w:rsid w:val="0069368E"/>
    <w:rsid w:val="006942C2"/>
    <w:rsid w:val="006946F3"/>
    <w:rsid w:val="00694786"/>
    <w:rsid w:val="0069489D"/>
    <w:rsid w:val="00694BA4"/>
    <w:rsid w:val="00694ECB"/>
    <w:rsid w:val="00695764"/>
    <w:rsid w:val="006957EB"/>
    <w:rsid w:val="00695D69"/>
    <w:rsid w:val="006963FC"/>
    <w:rsid w:val="00696695"/>
    <w:rsid w:val="00696B9B"/>
    <w:rsid w:val="00696D59"/>
    <w:rsid w:val="0069710B"/>
    <w:rsid w:val="00697C0E"/>
    <w:rsid w:val="006A05E3"/>
    <w:rsid w:val="006A0DE6"/>
    <w:rsid w:val="006A0F50"/>
    <w:rsid w:val="006A249E"/>
    <w:rsid w:val="006A2559"/>
    <w:rsid w:val="006A2C75"/>
    <w:rsid w:val="006A339E"/>
    <w:rsid w:val="006A3810"/>
    <w:rsid w:val="006A3EF6"/>
    <w:rsid w:val="006A4914"/>
    <w:rsid w:val="006A4AFB"/>
    <w:rsid w:val="006A51F9"/>
    <w:rsid w:val="006A54B4"/>
    <w:rsid w:val="006A5802"/>
    <w:rsid w:val="006A596D"/>
    <w:rsid w:val="006A599D"/>
    <w:rsid w:val="006A5E95"/>
    <w:rsid w:val="006A610C"/>
    <w:rsid w:val="006A611E"/>
    <w:rsid w:val="006A62A7"/>
    <w:rsid w:val="006A6A9E"/>
    <w:rsid w:val="006A6D78"/>
    <w:rsid w:val="006A796B"/>
    <w:rsid w:val="006A79F2"/>
    <w:rsid w:val="006A7C21"/>
    <w:rsid w:val="006A7CF4"/>
    <w:rsid w:val="006B0293"/>
    <w:rsid w:val="006B0548"/>
    <w:rsid w:val="006B0A04"/>
    <w:rsid w:val="006B1620"/>
    <w:rsid w:val="006B181B"/>
    <w:rsid w:val="006B1B7F"/>
    <w:rsid w:val="006B1E13"/>
    <w:rsid w:val="006B2013"/>
    <w:rsid w:val="006B27B7"/>
    <w:rsid w:val="006B2827"/>
    <w:rsid w:val="006B368D"/>
    <w:rsid w:val="006B39F5"/>
    <w:rsid w:val="006B3C52"/>
    <w:rsid w:val="006B3F2D"/>
    <w:rsid w:val="006B4E1D"/>
    <w:rsid w:val="006B4F6A"/>
    <w:rsid w:val="006B4F76"/>
    <w:rsid w:val="006B4FD8"/>
    <w:rsid w:val="006B52AF"/>
    <w:rsid w:val="006B5629"/>
    <w:rsid w:val="006B5925"/>
    <w:rsid w:val="006B5AE0"/>
    <w:rsid w:val="006B67FA"/>
    <w:rsid w:val="006B7273"/>
    <w:rsid w:val="006C02BA"/>
    <w:rsid w:val="006C0E7E"/>
    <w:rsid w:val="006C181C"/>
    <w:rsid w:val="006C1848"/>
    <w:rsid w:val="006C196B"/>
    <w:rsid w:val="006C1A36"/>
    <w:rsid w:val="006C1B1C"/>
    <w:rsid w:val="006C1B8E"/>
    <w:rsid w:val="006C1BC1"/>
    <w:rsid w:val="006C1CB1"/>
    <w:rsid w:val="006C1F00"/>
    <w:rsid w:val="006C2606"/>
    <w:rsid w:val="006C2923"/>
    <w:rsid w:val="006C2D0C"/>
    <w:rsid w:val="006C32E6"/>
    <w:rsid w:val="006C35A3"/>
    <w:rsid w:val="006C3698"/>
    <w:rsid w:val="006C3AA6"/>
    <w:rsid w:val="006C4102"/>
    <w:rsid w:val="006C42C2"/>
    <w:rsid w:val="006C4582"/>
    <w:rsid w:val="006C45A0"/>
    <w:rsid w:val="006C4C7C"/>
    <w:rsid w:val="006C4FAE"/>
    <w:rsid w:val="006C5B17"/>
    <w:rsid w:val="006C6072"/>
    <w:rsid w:val="006C617C"/>
    <w:rsid w:val="006C6690"/>
    <w:rsid w:val="006C6ECA"/>
    <w:rsid w:val="006C7027"/>
    <w:rsid w:val="006C70CC"/>
    <w:rsid w:val="006D07AF"/>
    <w:rsid w:val="006D136F"/>
    <w:rsid w:val="006D1842"/>
    <w:rsid w:val="006D2049"/>
    <w:rsid w:val="006D2370"/>
    <w:rsid w:val="006D2C73"/>
    <w:rsid w:val="006D2EE4"/>
    <w:rsid w:val="006D3A59"/>
    <w:rsid w:val="006D41A0"/>
    <w:rsid w:val="006D43CA"/>
    <w:rsid w:val="006D4FAC"/>
    <w:rsid w:val="006D590B"/>
    <w:rsid w:val="006D5911"/>
    <w:rsid w:val="006D5E55"/>
    <w:rsid w:val="006D6763"/>
    <w:rsid w:val="006D67FD"/>
    <w:rsid w:val="006D6807"/>
    <w:rsid w:val="006D6B6D"/>
    <w:rsid w:val="006D6EC5"/>
    <w:rsid w:val="006D7202"/>
    <w:rsid w:val="006D796D"/>
    <w:rsid w:val="006D7B3E"/>
    <w:rsid w:val="006D7BED"/>
    <w:rsid w:val="006E037C"/>
    <w:rsid w:val="006E0441"/>
    <w:rsid w:val="006E141A"/>
    <w:rsid w:val="006E1F90"/>
    <w:rsid w:val="006E2A3A"/>
    <w:rsid w:val="006E2A88"/>
    <w:rsid w:val="006E3197"/>
    <w:rsid w:val="006E3851"/>
    <w:rsid w:val="006E3853"/>
    <w:rsid w:val="006E3B0E"/>
    <w:rsid w:val="006E3CBA"/>
    <w:rsid w:val="006E3DF5"/>
    <w:rsid w:val="006E3E42"/>
    <w:rsid w:val="006E4088"/>
    <w:rsid w:val="006E40C1"/>
    <w:rsid w:val="006E4128"/>
    <w:rsid w:val="006E426A"/>
    <w:rsid w:val="006E4871"/>
    <w:rsid w:val="006E4A87"/>
    <w:rsid w:val="006E582F"/>
    <w:rsid w:val="006E5B14"/>
    <w:rsid w:val="006E6A69"/>
    <w:rsid w:val="006E6CD8"/>
    <w:rsid w:val="006E709F"/>
    <w:rsid w:val="006E732F"/>
    <w:rsid w:val="006E7929"/>
    <w:rsid w:val="006E7972"/>
    <w:rsid w:val="006E7EA0"/>
    <w:rsid w:val="006F0051"/>
    <w:rsid w:val="006F0E20"/>
    <w:rsid w:val="006F0FF1"/>
    <w:rsid w:val="006F106B"/>
    <w:rsid w:val="006F13A5"/>
    <w:rsid w:val="006F1845"/>
    <w:rsid w:val="006F1BAB"/>
    <w:rsid w:val="006F1D31"/>
    <w:rsid w:val="006F2142"/>
    <w:rsid w:val="006F2256"/>
    <w:rsid w:val="006F2339"/>
    <w:rsid w:val="006F274B"/>
    <w:rsid w:val="006F28D6"/>
    <w:rsid w:val="006F305C"/>
    <w:rsid w:val="006F308D"/>
    <w:rsid w:val="006F36E4"/>
    <w:rsid w:val="006F37AA"/>
    <w:rsid w:val="006F3972"/>
    <w:rsid w:val="006F3AFD"/>
    <w:rsid w:val="006F3C04"/>
    <w:rsid w:val="006F461E"/>
    <w:rsid w:val="006F47AD"/>
    <w:rsid w:val="006F493B"/>
    <w:rsid w:val="006F4CD7"/>
    <w:rsid w:val="006F5187"/>
    <w:rsid w:val="006F52C8"/>
    <w:rsid w:val="006F5941"/>
    <w:rsid w:val="006F5BFD"/>
    <w:rsid w:val="006F6033"/>
    <w:rsid w:val="006F6400"/>
    <w:rsid w:val="006F67CB"/>
    <w:rsid w:val="006F69A5"/>
    <w:rsid w:val="006F7150"/>
    <w:rsid w:val="006F785E"/>
    <w:rsid w:val="006F7A48"/>
    <w:rsid w:val="006F7F79"/>
    <w:rsid w:val="00700206"/>
    <w:rsid w:val="007004A4"/>
    <w:rsid w:val="007008FA"/>
    <w:rsid w:val="00700A21"/>
    <w:rsid w:val="00700B85"/>
    <w:rsid w:val="00700C8A"/>
    <w:rsid w:val="00700D7C"/>
    <w:rsid w:val="007013C0"/>
    <w:rsid w:val="0070195A"/>
    <w:rsid w:val="00701E91"/>
    <w:rsid w:val="0070216B"/>
    <w:rsid w:val="0070216C"/>
    <w:rsid w:val="007025A5"/>
    <w:rsid w:val="00703A93"/>
    <w:rsid w:val="00703E07"/>
    <w:rsid w:val="007050EF"/>
    <w:rsid w:val="007051F8"/>
    <w:rsid w:val="007059DF"/>
    <w:rsid w:val="00705E93"/>
    <w:rsid w:val="0070606B"/>
    <w:rsid w:val="00706B5E"/>
    <w:rsid w:val="00706CD8"/>
    <w:rsid w:val="00707864"/>
    <w:rsid w:val="007079DE"/>
    <w:rsid w:val="00707A93"/>
    <w:rsid w:val="00710283"/>
    <w:rsid w:val="0071098E"/>
    <w:rsid w:val="00710FE1"/>
    <w:rsid w:val="0071172A"/>
    <w:rsid w:val="00711A1A"/>
    <w:rsid w:val="00711CD6"/>
    <w:rsid w:val="00711D15"/>
    <w:rsid w:val="00711D58"/>
    <w:rsid w:val="00711FFD"/>
    <w:rsid w:val="00712546"/>
    <w:rsid w:val="0071268B"/>
    <w:rsid w:val="00712CFE"/>
    <w:rsid w:val="00713559"/>
    <w:rsid w:val="00713660"/>
    <w:rsid w:val="0071368B"/>
    <w:rsid w:val="007137D1"/>
    <w:rsid w:val="00714595"/>
    <w:rsid w:val="00714748"/>
    <w:rsid w:val="0071495C"/>
    <w:rsid w:val="00714CF7"/>
    <w:rsid w:val="00715559"/>
    <w:rsid w:val="00715E49"/>
    <w:rsid w:val="00715EDA"/>
    <w:rsid w:val="00715F88"/>
    <w:rsid w:val="00716178"/>
    <w:rsid w:val="00716624"/>
    <w:rsid w:val="0071668C"/>
    <w:rsid w:val="00716F75"/>
    <w:rsid w:val="007175F4"/>
    <w:rsid w:val="00717C81"/>
    <w:rsid w:val="00717C85"/>
    <w:rsid w:val="00720284"/>
    <w:rsid w:val="00720382"/>
    <w:rsid w:val="00720790"/>
    <w:rsid w:val="00720BB0"/>
    <w:rsid w:val="00720F89"/>
    <w:rsid w:val="00720FA6"/>
    <w:rsid w:val="0072141E"/>
    <w:rsid w:val="00721495"/>
    <w:rsid w:val="007214E4"/>
    <w:rsid w:val="00721613"/>
    <w:rsid w:val="00721FA5"/>
    <w:rsid w:val="00722F3B"/>
    <w:rsid w:val="0072303C"/>
    <w:rsid w:val="007230A0"/>
    <w:rsid w:val="007233AF"/>
    <w:rsid w:val="0072349E"/>
    <w:rsid w:val="007236DC"/>
    <w:rsid w:val="00723C31"/>
    <w:rsid w:val="00723EA4"/>
    <w:rsid w:val="00724288"/>
    <w:rsid w:val="0072475F"/>
    <w:rsid w:val="00724A3C"/>
    <w:rsid w:val="00724A92"/>
    <w:rsid w:val="00724D5D"/>
    <w:rsid w:val="00724E46"/>
    <w:rsid w:val="00724EBC"/>
    <w:rsid w:val="0072518E"/>
    <w:rsid w:val="007259BD"/>
    <w:rsid w:val="00726406"/>
    <w:rsid w:val="00730ABC"/>
    <w:rsid w:val="00730B4A"/>
    <w:rsid w:val="00731018"/>
    <w:rsid w:val="007315E7"/>
    <w:rsid w:val="007316A3"/>
    <w:rsid w:val="0073194E"/>
    <w:rsid w:val="00731A35"/>
    <w:rsid w:val="00731C11"/>
    <w:rsid w:val="00732144"/>
    <w:rsid w:val="00732217"/>
    <w:rsid w:val="00732600"/>
    <w:rsid w:val="00732712"/>
    <w:rsid w:val="00732957"/>
    <w:rsid w:val="00732D01"/>
    <w:rsid w:val="00732F43"/>
    <w:rsid w:val="00732F48"/>
    <w:rsid w:val="007330FE"/>
    <w:rsid w:val="00733258"/>
    <w:rsid w:val="0073393D"/>
    <w:rsid w:val="00733A97"/>
    <w:rsid w:val="0073479D"/>
    <w:rsid w:val="00734DFD"/>
    <w:rsid w:val="00734E23"/>
    <w:rsid w:val="0073516D"/>
    <w:rsid w:val="0073518C"/>
    <w:rsid w:val="00735223"/>
    <w:rsid w:val="00735640"/>
    <w:rsid w:val="00736733"/>
    <w:rsid w:val="0073673A"/>
    <w:rsid w:val="00736B97"/>
    <w:rsid w:val="00736DBB"/>
    <w:rsid w:val="0073717A"/>
    <w:rsid w:val="00740309"/>
    <w:rsid w:val="00740665"/>
    <w:rsid w:val="00740E60"/>
    <w:rsid w:val="00740F26"/>
    <w:rsid w:val="00742203"/>
    <w:rsid w:val="007424B3"/>
    <w:rsid w:val="00742AEE"/>
    <w:rsid w:val="00742B38"/>
    <w:rsid w:val="00742B41"/>
    <w:rsid w:val="007430EF"/>
    <w:rsid w:val="00743544"/>
    <w:rsid w:val="007440E9"/>
    <w:rsid w:val="007458A6"/>
    <w:rsid w:val="00745935"/>
    <w:rsid w:val="007464D5"/>
    <w:rsid w:val="00746B6A"/>
    <w:rsid w:val="00746FD3"/>
    <w:rsid w:val="00747168"/>
    <w:rsid w:val="00747183"/>
    <w:rsid w:val="007471CE"/>
    <w:rsid w:val="0074731A"/>
    <w:rsid w:val="007473E3"/>
    <w:rsid w:val="00747952"/>
    <w:rsid w:val="00747ABB"/>
    <w:rsid w:val="00747FC1"/>
    <w:rsid w:val="0075064F"/>
    <w:rsid w:val="0075070A"/>
    <w:rsid w:val="00750BD1"/>
    <w:rsid w:val="007510AE"/>
    <w:rsid w:val="007513A1"/>
    <w:rsid w:val="007517C6"/>
    <w:rsid w:val="00751975"/>
    <w:rsid w:val="00751D79"/>
    <w:rsid w:val="007521FF"/>
    <w:rsid w:val="007523E4"/>
    <w:rsid w:val="00752429"/>
    <w:rsid w:val="00752B12"/>
    <w:rsid w:val="00752D03"/>
    <w:rsid w:val="00752DE4"/>
    <w:rsid w:val="00753293"/>
    <w:rsid w:val="00753CC9"/>
    <w:rsid w:val="00754034"/>
    <w:rsid w:val="00754180"/>
    <w:rsid w:val="0075427C"/>
    <w:rsid w:val="00754723"/>
    <w:rsid w:val="00754C5D"/>
    <w:rsid w:val="007556C7"/>
    <w:rsid w:val="00755803"/>
    <w:rsid w:val="007562D2"/>
    <w:rsid w:val="007570EC"/>
    <w:rsid w:val="00757417"/>
    <w:rsid w:val="007579EE"/>
    <w:rsid w:val="00757B4A"/>
    <w:rsid w:val="0076005F"/>
    <w:rsid w:val="007603C5"/>
    <w:rsid w:val="00760419"/>
    <w:rsid w:val="00760446"/>
    <w:rsid w:val="00760587"/>
    <w:rsid w:val="0076097B"/>
    <w:rsid w:val="00760A49"/>
    <w:rsid w:val="00760D3A"/>
    <w:rsid w:val="00761042"/>
    <w:rsid w:val="00761BD3"/>
    <w:rsid w:val="00761CDB"/>
    <w:rsid w:val="00762199"/>
    <w:rsid w:val="007622B3"/>
    <w:rsid w:val="0076309E"/>
    <w:rsid w:val="007632CF"/>
    <w:rsid w:val="007633A8"/>
    <w:rsid w:val="00763414"/>
    <w:rsid w:val="00763642"/>
    <w:rsid w:val="007636FA"/>
    <w:rsid w:val="00763EFB"/>
    <w:rsid w:val="00764340"/>
    <w:rsid w:val="0076454B"/>
    <w:rsid w:val="00764918"/>
    <w:rsid w:val="007649D2"/>
    <w:rsid w:val="00765163"/>
    <w:rsid w:val="007654AE"/>
    <w:rsid w:val="00765713"/>
    <w:rsid w:val="0076581D"/>
    <w:rsid w:val="00765CEA"/>
    <w:rsid w:val="007675DE"/>
    <w:rsid w:val="0077065D"/>
    <w:rsid w:val="00770843"/>
    <w:rsid w:val="0077088A"/>
    <w:rsid w:val="00770B83"/>
    <w:rsid w:val="00770DC8"/>
    <w:rsid w:val="00772100"/>
    <w:rsid w:val="007721B5"/>
    <w:rsid w:val="007721C5"/>
    <w:rsid w:val="0077331E"/>
    <w:rsid w:val="007739AC"/>
    <w:rsid w:val="00773D8B"/>
    <w:rsid w:val="00774221"/>
    <w:rsid w:val="007744DE"/>
    <w:rsid w:val="00774618"/>
    <w:rsid w:val="00774B54"/>
    <w:rsid w:val="00774B5E"/>
    <w:rsid w:val="00774B94"/>
    <w:rsid w:val="00774DE4"/>
    <w:rsid w:val="00774EC9"/>
    <w:rsid w:val="0077509F"/>
    <w:rsid w:val="00775366"/>
    <w:rsid w:val="0077552E"/>
    <w:rsid w:val="007756CB"/>
    <w:rsid w:val="00775AFE"/>
    <w:rsid w:val="00775EE3"/>
    <w:rsid w:val="00776AC9"/>
    <w:rsid w:val="00780054"/>
    <w:rsid w:val="00780619"/>
    <w:rsid w:val="00780DCC"/>
    <w:rsid w:val="007817B5"/>
    <w:rsid w:val="00781B50"/>
    <w:rsid w:val="00781DEC"/>
    <w:rsid w:val="00781FB8"/>
    <w:rsid w:val="00782108"/>
    <w:rsid w:val="00782B38"/>
    <w:rsid w:val="00782B8A"/>
    <w:rsid w:val="0078365D"/>
    <w:rsid w:val="00783755"/>
    <w:rsid w:val="007838CE"/>
    <w:rsid w:val="00783D91"/>
    <w:rsid w:val="00783DEB"/>
    <w:rsid w:val="007846E7"/>
    <w:rsid w:val="00784852"/>
    <w:rsid w:val="007848E4"/>
    <w:rsid w:val="00784D5B"/>
    <w:rsid w:val="00785427"/>
    <w:rsid w:val="0078689A"/>
    <w:rsid w:val="00786926"/>
    <w:rsid w:val="00786946"/>
    <w:rsid w:val="00786B61"/>
    <w:rsid w:val="00787406"/>
    <w:rsid w:val="007877CA"/>
    <w:rsid w:val="007877D6"/>
    <w:rsid w:val="007878A9"/>
    <w:rsid w:val="00787AED"/>
    <w:rsid w:val="00787CD1"/>
    <w:rsid w:val="00787D88"/>
    <w:rsid w:val="007902F4"/>
    <w:rsid w:val="00790848"/>
    <w:rsid w:val="0079099A"/>
    <w:rsid w:val="00790AE5"/>
    <w:rsid w:val="00790E66"/>
    <w:rsid w:val="00791151"/>
    <w:rsid w:val="007911A4"/>
    <w:rsid w:val="007917D9"/>
    <w:rsid w:val="00791A8A"/>
    <w:rsid w:val="00791C9A"/>
    <w:rsid w:val="007926F8"/>
    <w:rsid w:val="00792938"/>
    <w:rsid w:val="00792BF6"/>
    <w:rsid w:val="00792DAD"/>
    <w:rsid w:val="00792E9A"/>
    <w:rsid w:val="00793099"/>
    <w:rsid w:val="007934EC"/>
    <w:rsid w:val="00793791"/>
    <w:rsid w:val="007938D0"/>
    <w:rsid w:val="00793A57"/>
    <w:rsid w:val="00794E5C"/>
    <w:rsid w:val="00794EF4"/>
    <w:rsid w:val="00794FA3"/>
    <w:rsid w:val="007952E3"/>
    <w:rsid w:val="00795499"/>
    <w:rsid w:val="007956DE"/>
    <w:rsid w:val="00795E82"/>
    <w:rsid w:val="00796317"/>
    <w:rsid w:val="00796397"/>
    <w:rsid w:val="00796666"/>
    <w:rsid w:val="00796807"/>
    <w:rsid w:val="00796CD0"/>
    <w:rsid w:val="00796F3E"/>
    <w:rsid w:val="0079709B"/>
    <w:rsid w:val="0079717A"/>
    <w:rsid w:val="007977D2"/>
    <w:rsid w:val="00797CB0"/>
    <w:rsid w:val="007A0B1C"/>
    <w:rsid w:val="007A0CCB"/>
    <w:rsid w:val="007A13F6"/>
    <w:rsid w:val="007A1511"/>
    <w:rsid w:val="007A2ABF"/>
    <w:rsid w:val="007A2DD2"/>
    <w:rsid w:val="007A3144"/>
    <w:rsid w:val="007A315E"/>
    <w:rsid w:val="007A47F9"/>
    <w:rsid w:val="007A525A"/>
    <w:rsid w:val="007A5377"/>
    <w:rsid w:val="007A53A9"/>
    <w:rsid w:val="007A591A"/>
    <w:rsid w:val="007A5C67"/>
    <w:rsid w:val="007A62E1"/>
    <w:rsid w:val="007A746B"/>
    <w:rsid w:val="007A78BB"/>
    <w:rsid w:val="007A7CEA"/>
    <w:rsid w:val="007A7F2F"/>
    <w:rsid w:val="007B0BE7"/>
    <w:rsid w:val="007B0FEE"/>
    <w:rsid w:val="007B1503"/>
    <w:rsid w:val="007B1761"/>
    <w:rsid w:val="007B17E4"/>
    <w:rsid w:val="007B19B2"/>
    <w:rsid w:val="007B1CEE"/>
    <w:rsid w:val="007B1D5A"/>
    <w:rsid w:val="007B1ED4"/>
    <w:rsid w:val="007B2413"/>
    <w:rsid w:val="007B2EA6"/>
    <w:rsid w:val="007B2F81"/>
    <w:rsid w:val="007B384C"/>
    <w:rsid w:val="007B3D2E"/>
    <w:rsid w:val="007B4042"/>
    <w:rsid w:val="007B4257"/>
    <w:rsid w:val="007B496D"/>
    <w:rsid w:val="007B5309"/>
    <w:rsid w:val="007B555D"/>
    <w:rsid w:val="007B557E"/>
    <w:rsid w:val="007B568B"/>
    <w:rsid w:val="007B5B38"/>
    <w:rsid w:val="007B5C8C"/>
    <w:rsid w:val="007B60D5"/>
    <w:rsid w:val="007B6147"/>
    <w:rsid w:val="007B6541"/>
    <w:rsid w:val="007B693E"/>
    <w:rsid w:val="007B6946"/>
    <w:rsid w:val="007B72D6"/>
    <w:rsid w:val="007B7928"/>
    <w:rsid w:val="007B7CA2"/>
    <w:rsid w:val="007B7D91"/>
    <w:rsid w:val="007B7FF2"/>
    <w:rsid w:val="007C0246"/>
    <w:rsid w:val="007C02C3"/>
    <w:rsid w:val="007C05B6"/>
    <w:rsid w:val="007C0977"/>
    <w:rsid w:val="007C0B7B"/>
    <w:rsid w:val="007C1019"/>
    <w:rsid w:val="007C178E"/>
    <w:rsid w:val="007C1997"/>
    <w:rsid w:val="007C1E74"/>
    <w:rsid w:val="007C2A2F"/>
    <w:rsid w:val="007C3023"/>
    <w:rsid w:val="007C34DF"/>
    <w:rsid w:val="007C3C10"/>
    <w:rsid w:val="007C42E3"/>
    <w:rsid w:val="007C52FD"/>
    <w:rsid w:val="007C5CB6"/>
    <w:rsid w:val="007C6114"/>
    <w:rsid w:val="007C635E"/>
    <w:rsid w:val="007C6533"/>
    <w:rsid w:val="007C690C"/>
    <w:rsid w:val="007C6E13"/>
    <w:rsid w:val="007C6E71"/>
    <w:rsid w:val="007C6ED6"/>
    <w:rsid w:val="007C75F8"/>
    <w:rsid w:val="007C79F8"/>
    <w:rsid w:val="007C7CE5"/>
    <w:rsid w:val="007D0AB3"/>
    <w:rsid w:val="007D1183"/>
    <w:rsid w:val="007D12B1"/>
    <w:rsid w:val="007D2DC7"/>
    <w:rsid w:val="007D3075"/>
    <w:rsid w:val="007D32A8"/>
    <w:rsid w:val="007D33F8"/>
    <w:rsid w:val="007D3618"/>
    <w:rsid w:val="007D3690"/>
    <w:rsid w:val="007D3A5D"/>
    <w:rsid w:val="007D4C66"/>
    <w:rsid w:val="007D4FC6"/>
    <w:rsid w:val="007D52C0"/>
    <w:rsid w:val="007D56ED"/>
    <w:rsid w:val="007D571C"/>
    <w:rsid w:val="007D58EB"/>
    <w:rsid w:val="007D5911"/>
    <w:rsid w:val="007D6BFA"/>
    <w:rsid w:val="007D6DB9"/>
    <w:rsid w:val="007D6E9B"/>
    <w:rsid w:val="007D6F7C"/>
    <w:rsid w:val="007D6F88"/>
    <w:rsid w:val="007D728B"/>
    <w:rsid w:val="007D72F8"/>
    <w:rsid w:val="007D7590"/>
    <w:rsid w:val="007D75DB"/>
    <w:rsid w:val="007D7877"/>
    <w:rsid w:val="007D792E"/>
    <w:rsid w:val="007D7CFF"/>
    <w:rsid w:val="007D7DF9"/>
    <w:rsid w:val="007D7EF1"/>
    <w:rsid w:val="007E0122"/>
    <w:rsid w:val="007E03E7"/>
    <w:rsid w:val="007E0E91"/>
    <w:rsid w:val="007E1251"/>
    <w:rsid w:val="007E140F"/>
    <w:rsid w:val="007E1A8E"/>
    <w:rsid w:val="007E2098"/>
    <w:rsid w:val="007E21B3"/>
    <w:rsid w:val="007E29C6"/>
    <w:rsid w:val="007E3375"/>
    <w:rsid w:val="007E36D1"/>
    <w:rsid w:val="007E3A98"/>
    <w:rsid w:val="007E3DD7"/>
    <w:rsid w:val="007E40A9"/>
    <w:rsid w:val="007E40F7"/>
    <w:rsid w:val="007E4136"/>
    <w:rsid w:val="007E4173"/>
    <w:rsid w:val="007E48EF"/>
    <w:rsid w:val="007E49DB"/>
    <w:rsid w:val="007E56B3"/>
    <w:rsid w:val="007E56BC"/>
    <w:rsid w:val="007E59A4"/>
    <w:rsid w:val="007E5AA0"/>
    <w:rsid w:val="007E5FDA"/>
    <w:rsid w:val="007E60FB"/>
    <w:rsid w:val="007E6657"/>
    <w:rsid w:val="007E6E85"/>
    <w:rsid w:val="007E7295"/>
    <w:rsid w:val="007E737D"/>
    <w:rsid w:val="007E7AC9"/>
    <w:rsid w:val="007F0374"/>
    <w:rsid w:val="007F05D0"/>
    <w:rsid w:val="007F093A"/>
    <w:rsid w:val="007F0AD0"/>
    <w:rsid w:val="007F0AFA"/>
    <w:rsid w:val="007F1D81"/>
    <w:rsid w:val="007F1F1D"/>
    <w:rsid w:val="007F21F0"/>
    <w:rsid w:val="007F24D7"/>
    <w:rsid w:val="007F27D0"/>
    <w:rsid w:val="007F2ADD"/>
    <w:rsid w:val="007F30A7"/>
    <w:rsid w:val="007F33B5"/>
    <w:rsid w:val="007F35C8"/>
    <w:rsid w:val="007F379F"/>
    <w:rsid w:val="007F3C35"/>
    <w:rsid w:val="007F3C36"/>
    <w:rsid w:val="007F3E21"/>
    <w:rsid w:val="007F44F7"/>
    <w:rsid w:val="007F4AAC"/>
    <w:rsid w:val="007F4FB7"/>
    <w:rsid w:val="007F5125"/>
    <w:rsid w:val="007F52D1"/>
    <w:rsid w:val="007F5357"/>
    <w:rsid w:val="007F5483"/>
    <w:rsid w:val="007F5638"/>
    <w:rsid w:val="007F57A5"/>
    <w:rsid w:val="007F58BD"/>
    <w:rsid w:val="007F60D4"/>
    <w:rsid w:val="007F61EA"/>
    <w:rsid w:val="007F62C4"/>
    <w:rsid w:val="007F6407"/>
    <w:rsid w:val="007F653B"/>
    <w:rsid w:val="007F6763"/>
    <w:rsid w:val="007F705A"/>
    <w:rsid w:val="0080030E"/>
    <w:rsid w:val="00800A8F"/>
    <w:rsid w:val="00800C1E"/>
    <w:rsid w:val="00800DB8"/>
    <w:rsid w:val="00801536"/>
    <w:rsid w:val="008019E4"/>
    <w:rsid w:val="00801C17"/>
    <w:rsid w:val="00801DE1"/>
    <w:rsid w:val="008028DF"/>
    <w:rsid w:val="00803A0E"/>
    <w:rsid w:val="00803DB3"/>
    <w:rsid w:val="008042E0"/>
    <w:rsid w:val="00804A61"/>
    <w:rsid w:val="0080519E"/>
    <w:rsid w:val="008061CA"/>
    <w:rsid w:val="00806AED"/>
    <w:rsid w:val="008071BF"/>
    <w:rsid w:val="00807AE4"/>
    <w:rsid w:val="00807DD3"/>
    <w:rsid w:val="008103EA"/>
    <w:rsid w:val="00810591"/>
    <w:rsid w:val="00810A26"/>
    <w:rsid w:val="00810A80"/>
    <w:rsid w:val="00810FD9"/>
    <w:rsid w:val="00811059"/>
    <w:rsid w:val="008110FE"/>
    <w:rsid w:val="00811350"/>
    <w:rsid w:val="00811B42"/>
    <w:rsid w:val="00811F60"/>
    <w:rsid w:val="00812001"/>
    <w:rsid w:val="0081240E"/>
    <w:rsid w:val="0081321A"/>
    <w:rsid w:val="008132F7"/>
    <w:rsid w:val="008141ED"/>
    <w:rsid w:val="008149E2"/>
    <w:rsid w:val="00814B96"/>
    <w:rsid w:val="00814FB9"/>
    <w:rsid w:val="00815277"/>
    <w:rsid w:val="008155AC"/>
    <w:rsid w:val="008158DB"/>
    <w:rsid w:val="00815AAF"/>
    <w:rsid w:val="00815C1C"/>
    <w:rsid w:val="00816389"/>
    <w:rsid w:val="008163F5"/>
    <w:rsid w:val="008165F1"/>
    <w:rsid w:val="00816715"/>
    <w:rsid w:val="00816BAF"/>
    <w:rsid w:val="00816BDB"/>
    <w:rsid w:val="00816E15"/>
    <w:rsid w:val="00816EE6"/>
    <w:rsid w:val="00817762"/>
    <w:rsid w:val="0082052C"/>
    <w:rsid w:val="008207A7"/>
    <w:rsid w:val="00820B1A"/>
    <w:rsid w:val="008213F4"/>
    <w:rsid w:val="00821E53"/>
    <w:rsid w:val="008223E5"/>
    <w:rsid w:val="008224ED"/>
    <w:rsid w:val="0082267F"/>
    <w:rsid w:val="00822C4C"/>
    <w:rsid w:val="008238B5"/>
    <w:rsid w:val="00823D7C"/>
    <w:rsid w:val="00823E32"/>
    <w:rsid w:val="00824685"/>
    <w:rsid w:val="00824C1E"/>
    <w:rsid w:val="00824DB6"/>
    <w:rsid w:val="008253E8"/>
    <w:rsid w:val="00825878"/>
    <w:rsid w:val="00825EBB"/>
    <w:rsid w:val="0082656E"/>
    <w:rsid w:val="008265A0"/>
    <w:rsid w:val="00826C9B"/>
    <w:rsid w:val="00826EA0"/>
    <w:rsid w:val="00826EFD"/>
    <w:rsid w:val="0082707E"/>
    <w:rsid w:val="0082712B"/>
    <w:rsid w:val="00827594"/>
    <w:rsid w:val="008277AC"/>
    <w:rsid w:val="00827E60"/>
    <w:rsid w:val="00827FD9"/>
    <w:rsid w:val="0083040D"/>
    <w:rsid w:val="008308EC"/>
    <w:rsid w:val="008309D4"/>
    <w:rsid w:val="0083141B"/>
    <w:rsid w:val="00831461"/>
    <w:rsid w:val="00831763"/>
    <w:rsid w:val="00831BAB"/>
    <w:rsid w:val="00831D6F"/>
    <w:rsid w:val="00832210"/>
    <w:rsid w:val="008322BD"/>
    <w:rsid w:val="00832D93"/>
    <w:rsid w:val="008335C1"/>
    <w:rsid w:val="00833BC2"/>
    <w:rsid w:val="00833C6A"/>
    <w:rsid w:val="00833C8F"/>
    <w:rsid w:val="00833DD5"/>
    <w:rsid w:val="00833E43"/>
    <w:rsid w:val="008343BF"/>
    <w:rsid w:val="00834B1D"/>
    <w:rsid w:val="00834B68"/>
    <w:rsid w:val="0083586F"/>
    <w:rsid w:val="00835BA1"/>
    <w:rsid w:val="00836534"/>
    <w:rsid w:val="00836A41"/>
    <w:rsid w:val="00837417"/>
    <w:rsid w:val="00837BDA"/>
    <w:rsid w:val="0084006E"/>
    <w:rsid w:val="008405EC"/>
    <w:rsid w:val="00840B96"/>
    <w:rsid w:val="00840C31"/>
    <w:rsid w:val="008414CE"/>
    <w:rsid w:val="00841551"/>
    <w:rsid w:val="00841D0A"/>
    <w:rsid w:val="00841FC9"/>
    <w:rsid w:val="0084204E"/>
    <w:rsid w:val="008423A0"/>
    <w:rsid w:val="008428EC"/>
    <w:rsid w:val="00843159"/>
    <w:rsid w:val="008432CB"/>
    <w:rsid w:val="00843451"/>
    <w:rsid w:val="00843895"/>
    <w:rsid w:val="008438D6"/>
    <w:rsid w:val="008443F5"/>
    <w:rsid w:val="00844C43"/>
    <w:rsid w:val="00845077"/>
    <w:rsid w:val="00845399"/>
    <w:rsid w:val="00845DD4"/>
    <w:rsid w:val="008466F0"/>
    <w:rsid w:val="00846FE0"/>
    <w:rsid w:val="00847AB0"/>
    <w:rsid w:val="00847B20"/>
    <w:rsid w:val="0085016F"/>
    <w:rsid w:val="008507F3"/>
    <w:rsid w:val="0085142B"/>
    <w:rsid w:val="00851B00"/>
    <w:rsid w:val="00852B1F"/>
    <w:rsid w:val="00852BE3"/>
    <w:rsid w:val="00852C5A"/>
    <w:rsid w:val="00852F5B"/>
    <w:rsid w:val="0085364F"/>
    <w:rsid w:val="0085423A"/>
    <w:rsid w:val="0085452F"/>
    <w:rsid w:val="00854646"/>
    <w:rsid w:val="0085524B"/>
    <w:rsid w:val="00855272"/>
    <w:rsid w:val="00855695"/>
    <w:rsid w:val="00855974"/>
    <w:rsid w:val="0085629B"/>
    <w:rsid w:val="00856A2C"/>
    <w:rsid w:val="008571BA"/>
    <w:rsid w:val="008571D4"/>
    <w:rsid w:val="008603D3"/>
    <w:rsid w:val="0086069F"/>
    <w:rsid w:val="008606FD"/>
    <w:rsid w:val="008613EF"/>
    <w:rsid w:val="00861513"/>
    <w:rsid w:val="00861607"/>
    <w:rsid w:val="00861B9A"/>
    <w:rsid w:val="00862196"/>
    <w:rsid w:val="0086219E"/>
    <w:rsid w:val="00862E50"/>
    <w:rsid w:val="0086371F"/>
    <w:rsid w:val="008638A7"/>
    <w:rsid w:val="00863B22"/>
    <w:rsid w:val="0086407F"/>
    <w:rsid w:val="008641F8"/>
    <w:rsid w:val="00864468"/>
    <w:rsid w:val="008644B7"/>
    <w:rsid w:val="008645AF"/>
    <w:rsid w:val="008647F9"/>
    <w:rsid w:val="00864ACE"/>
    <w:rsid w:val="008650F8"/>
    <w:rsid w:val="00865103"/>
    <w:rsid w:val="00865184"/>
    <w:rsid w:val="00865C94"/>
    <w:rsid w:val="00866416"/>
    <w:rsid w:val="00866552"/>
    <w:rsid w:val="008668E9"/>
    <w:rsid w:val="00867CCC"/>
    <w:rsid w:val="00867E75"/>
    <w:rsid w:val="00870206"/>
    <w:rsid w:val="008702EE"/>
    <w:rsid w:val="00870394"/>
    <w:rsid w:val="0087039F"/>
    <w:rsid w:val="008703C2"/>
    <w:rsid w:val="008707D7"/>
    <w:rsid w:val="00870D61"/>
    <w:rsid w:val="00871632"/>
    <w:rsid w:val="00871931"/>
    <w:rsid w:val="00871AD6"/>
    <w:rsid w:val="00871D31"/>
    <w:rsid w:val="00871F02"/>
    <w:rsid w:val="00872665"/>
    <w:rsid w:val="00872742"/>
    <w:rsid w:val="00872D48"/>
    <w:rsid w:val="00872DA4"/>
    <w:rsid w:val="00872F38"/>
    <w:rsid w:val="008736C5"/>
    <w:rsid w:val="00873E02"/>
    <w:rsid w:val="00873E22"/>
    <w:rsid w:val="0087437D"/>
    <w:rsid w:val="008747AE"/>
    <w:rsid w:val="00875203"/>
    <w:rsid w:val="00875F6E"/>
    <w:rsid w:val="00876132"/>
    <w:rsid w:val="00876C64"/>
    <w:rsid w:val="00876CFA"/>
    <w:rsid w:val="00877275"/>
    <w:rsid w:val="008776C0"/>
    <w:rsid w:val="0087782A"/>
    <w:rsid w:val="00877A82"/>
    <w:rsid w:val="00877F62"/>
    <w:rsid w:val="008800E4"/>
    <w:rsid w:val="008805A1"/>
    <w:rsid w:val="00880751"/>
    <w:rsid w:val="00880978"/>
    <w:rsid w:val="00880B7D"/>
    <w:rsid w:val="00880F8D"/>
    <w:rsid w:val="00881A26"/>
    <w:rsid w:val="00881A78"/>
    <w:rsid w:val="00881B56"/>
    <w:rsid w:val="00881C30"/>
    <w:rsid w:val="00881CA0"/>
    <w:rsid w:val="00881EC9"/>
    <w:rsid w:val="00881F0F"/>
    <w:rsid w:val="00883418"/>
    <w:rsid w:val="0088356A"/>
    <w:rsid w:val="008836FB"/>
    <w:rsid w:val="0088384B"/>
    <w:rsid w:val="00883DE9"/>
    <w:rsid w:val="00884A6F"/>
    <w:rsid w:val="00884F69"/>
    <w:rsid w:val="0088514D"/>
    <w:rsid w:val="00885206"/>
    <w:rsid w:val="00885461"/>
    <w:rsid w:val="008857FA"/>
    <w:rsid w:val="00886845"/>
    <w:rsid w:val="00886C14"/>
    <w:rsid w:val="008870DF"/>
    <w:rsid w:val="008872D3"/>
    <w:rsid w:val="00887335"/>
    <w:rsid w:val="008879E9"/>
    <w:rsid w:val="00887AA1"/>
    <w:rsid w:val="00887C90"/>
    <w:rsid w:val="00890195"/>
    <w:rsid w:val="00890845"/>
    <w:rsid w:val="00890C9A"/>
    <w:rsid w:val="00890CC6"/>
    <w:rsid w:val="00890E3C"/>
    <w:rsid w:val="0089182C"/>
    <w:rsid w:val="008919DB"/>
    <w:rsid w:val="00891A9E"/>
    <w:rsid w:val="00891B71"/>
    <w:rsid w:val="00892228"/>
    <w:rsid w:val="008927A0"/>
    <w:rsid w:val="00892B01"/>
    <w:rsid w:val="00892C64"/>
    <w:rsid w:val="00893146"/>
    <w:rsid w:val="00893473"/>
    <w:rsid w:val="008934A9"/>
    <w:rsid w:val="0089379D"/>
    <w:rsid w:val="0089402B"/>
    <w:rsid w:val="0089430E"/>
    <w:rsid w:val="008948C7"/>
    <w:rsid w:val="00894D47"/>
    <w:rsid w:val="00896458"/>
    <w:rsid w:val="00896626"/>
    <w:rsid w:val="008966D4"/>
    <w:rsid w:val="00896798"/>
    <w:rsid w:val="008968AE"/>
    <w:rsid w:val="008972ED"/>
    <w:rsid w:val="0089737D"/>
    <w:rsid w:val="008976A4"/>
    <w:rsid w:val="00897773"/>
    <w:rsid w:val="00897F6C"/>
    <w:rsid w:val="008A048B"/>
    <w:rsid w:val="008A0C8F"/>
    <w:rsid w:val="008A0E37"/>
    <w:rsid w:val="008A1015"/>
    <w:rsid w:val="008A11E1"/>
    <w:rsid w:val="008A1B63"/>
    <w:rsid w:val="008A2447"/>
    <w:rsid w:val="008A2938"/>
    <w:rsid w:val="008A3099"/>
    <w:rsid w:val="008A3403"/>
    <w:rsid w:val="008A347C"/>
    <w:rsid w:val="008A3645"/>
    <w:rsid w:val="008A40B2"/>
    <w:rsid w:val="008A4316"/>
    <w:rsid w:val="008A49F4"/>
    <w:rsid w:val="008A5C8C"/>
    <w:rsid w:val="008A5E27"/>
    <w:rsid w:val="008A6548"/>
    <w:rsid w:val="008A6833"/>
    <w:rsid w:val="008A690C"/>
    <w:rsid w:val="008A6A65"/>
    <w:rsid w:val="008A6C89"/>
    <w:rsid w:val="008B0047"/>
    <w:rsid w:val="008B0911"/>
    <w:rsid w:val="008B0B60"/>
    <w:rsid w:val="008B0B61"/>
    <w:rsid w:val="008B0E4B"/>
    <w:rsid w:val="008B0F0C"/>
    <w:rsid w:val="008B2137"/>
    <w:rsid w:val="008B27B6"/>
    <w:rsid w:val="008B288C"/>
    <w:rsid w:val="008B298A"/>
    <w:rsid w:val="008B2C36"/>
    <w:rsid w:val="008B3177"/>
    <w:rsid w:val="008B3690"/>
    <w:rsid w:val="008B3793"/>
    <w:rsid w:val="008B3C2C"/>
    <w:rsid w:val="008B3CF0"/>
    <w:rsid w:val="008B44D3"/>
    <w:rsid w:val="008B509D"/>
    <w:rsid w:val="008B5186"/>
    <w:rsid w:val="008B51DB"/>
    <w:rsid w:val="008B52C3"/>
    <w:rsid w:val="008B55F8"/>
    <w:rsid w:val="008B6670"/>
    <w:rsid w:val="008B681D"/>
    <w:rsid w:val="008B693A"/>
    <w:rsid w:val="008B6F28"/>
    <w:rsid w:val="008B76AE"/>
    <w:rsid w:val="008B7F96"/>
    <w:rsid w:val="008C00DB"/>
    <w:rsid w:val="008C0DC2"/>
    <w:rsid w:val="008C183A"/>
    <w:rsid w:val="008C19AB"/>
    <w:rsid w:val="008C2511"/>
    <w:rsid w:val="008C27C6"/>
    <w:rsid w:val="008C2B4F"/>
    <w:rsid w:val="008C2EDC"/>
    <w:rsid w:val="008C335A"/>
    <w:rsid w:val="008C33EC"/>
    <w:rsid w:val="008C3CE9"/>
    <w:rsid w:val="008C3D73"/>
    <w:rsid w:val="008C3F68"/>
    <w:rsid w:val="008C427F"/>
    <w:rsid w:val="008C48A1"/>
    <w:rsid w:val="008C4BD6"/>
    <w:rsid w:val="008C527C"/>
    <w:rsid w:val="008C558D"/>
    <w:rsid w:val="008C5646"/>
    <w:rsid w:val="008C5737"/>
    <w:rsid w:val="008C5DA0"/>
    <w:rsid w:val="008C6272"/>
    <w:rsid w:val="008C65EB"/>
    <w:rsid w:val="008C677D"/>
    <w:rsid w:val="008C6C80"/>
    <w:rsid w:val="008C6F0C"/>
    <w:rsid w:val="008C70F7"/>
    <w:rsid w:val="008C72AA"/>
    <w:rsid w:val="008C74F5"/>
    <w:rsid w:val="008C7547"/>
    <w:rsid w:val="008D0E81"/>
    <w:rsid w:val="008D0F65"/>
    <w:rsid w:val="008D1705"/>
    <w:rsid w:val="008D1CF3"/>
    <w:rsid w:val="008D1DE5"/>
    <w:rsid w:val="008D1EBA"/>
    <w:rsid w:val="008D2033"/>
    <w:rsid w:val="008D2B3F"/>
    <w:rsid w:val="008D2FB7"/>
    <w:rsid w:val="008D338C"/>
    <w:rsid w:val="008D390F"/>
    <w:rsid w:val="008D3E62"/>
    <w:rsid w:val="008D486A"/>
    <w:rsid w:val="008D52DE"/>
    <w:rsid w:val="008D552A"/>
    <w:rsid w:val="008D582F"/>
    <w:rsid w:val="008D5A40"/>
    <w:rsid w:val="008D6879"/>
    <w:rsid w:val="008D6A1D"/>
    <w:rsid w:val="008D6E8C"/>
    <w:rsid w:val="008D7547"/>
    <w:rsid w:val="008D78A2"/>
    <w:rsid w:val="008E019F"/>
    <w:rsid w:val="008E0D6F"/>
    <w:rsid w:val="008E12EE"/>
    <w:rsid w:val="008E1554"/>
    <w:rsid w:val="008E1835"/>
    <w:rsid w:val="008E1B6D"/>
    <w:rsid w:val="008E251A"/>
    <w:rsid w:val="008E27C2"/>
    <w:rsid w:val="008E3106"/>
    <w:rsid w:val="008E31DD"/>
    <w:rsid w:val="008E3490"/>
    <w:rsid w:val="008E355F"/>
    <w:rsid w:val="008E3FC5"/>
    <w:rsid w:val="008E4727"/>
    <w:rsid w:val="008E5111"/>
    <w:rsid w:val="008E5310"/>
    <w:rsid w:val="008E5C1F"/>
    <w:rsid w:val="008E6316"/>
    <w:rsid w:val="008E6D2F"/>
    <w:rsid w:val="008E7428"/>
    <w:rsid w:val="008E7842"/>
    <w:rsid w:val="008F0894"/>
    <w:rsid w:val="008F08EA"/>
    <w:rsid w:val="008F0907"/>
    <w:rsid w:val="008F09D5"/>
    <w:rsid w:val="008F0C64"/>
    <w:rsid w:val="008F0EBC"/>
    <w:rsid w:val="008F1020"/>
    <w:rsid w:val="008F1069"/>
    <w:rsid w:val="008F165E"/>
    <w:rsid w:val="008F17B9"/>
    <w:rsid w:val="008F194D"/>
    <w:rsid w:val="008F1968"/>
    <w:rsid w:val="008F19A0"/>
    <w:rsid w:val="008F19B4"/>
    <w:rsid w:val="008F1BB8"/>
    <w:rsid w:val="008F2096"/>
    <w:rsid w:val="008F2362"/>
    <w:rsid w:val="008F2451"/>
    <w:rsid w:val="008F2F73"/>
    <w:rsid w:val="008F3357"/>
    <w:rsid w:val="008F3FF3"/>
    <w:rsid w:val="008F4431"/>
    <w:rsid w:val="008F45C4"/>
    <w:rsid w:val="008F4712"/>
    <w:rsid w:val="008F486A"/>
    <w:rsid w:val="008F5291"/>
    <w:rsid w:val="008F5693"/>
    <w:rsid w:val="008F5733"/>
    <w:rsid w:val="008F5E11"/>
    <w:rsid w:val="008F5F49"/>
    <w:rsid w:val="008F6495"/>
    <w:rsid w:val="008F64A6"/>
    <w:rsid w:val="008F665F"/>
    <w:rsid w:val="008F68B9"/>
    <w:rsid w:val="008F6FAB"/>
    <w:rsid w:val="008F6FFA"/>
    <w:rsid w:val="008F7176"/>
    <w:rsid w:val="008F7B3D"/>
    <w:rsid w:val="008F7B8A"/>
    <w:rsid w:val="008F7EF3"/>
    <w:rsid w:val="008F7F77"/>
    <w:rsid w:val="00900031"/>
    <w:rsid w:val="0090100A"/>
    <w:rsid w:val="009011B2"/>
    <w:rsid w:val="00901804"/>
    <w:rsid w:val="00901C95"/>
    <w:rsid w:val="00901CCD"/>
    <w:rsid w:val="00902441"/>
    <w:rsid w:val="00902512"/>
    <w:rsid w:val="00902C1B"/>
    <w:rsid w:val="00902CA5"/>
    <w:rsid w:val="00902DE3"/>
    <w:rsid w:val="00902E76"/>
    <w:rsid w:val="0090383A"/>
    <w:rsid w:val="0090403D"/>
    <w:rsid w:val="00904182"/>
    <w:rsid w:val="00904214"/>
    <w:rsid w:val="009046BA"/>
    <w:rsid w:val="00904D59"/>
    <w:rsid w:val="0090528D"/>
    <w:rsid w:val="00905A72"/>
    <w:rsid w:val="00905FEF"/>
    <w:rsid w:val="00906AF7"/>
    <w:rsid w:val="00906F14"/>
    <w:rsid w:val="00907201"/>
    <w:rsid w:val="009073E6"/>
    <w:rsid w:val="009078F9"/>
    <w:rsid w:val="00907B1B"/>
    <w:rsid w:val="00907BE7"/>
    <w:rsid w:val="00907C61"/>
    <w:rsid w:val="00907D58"/>
    <w:rsid w:val="00910320"/>
    <w:rsid w:val="0091033D"/>
    <w:rsid w:val="0091089B"/>
    <w:rsid w:val="00910BED"/>
    <w:rsid w:val="00910E9A"/>
    <w:rsid w:val="00910F27"/>
    <w:rsid w:val="0091104D"/>
    <w:rsid w:val="0091140F"/>
    <w:rsid w:val="00911D16"/>
    <w:rsid w:val="00912142"/>
    <w:rsid w:val="00912D5B"/>
    <w:rsid w:val="00912DA1"/>
    <w:rsid w:val="009131FE"/>
    <w:rsid w:val="009132ED"/>
    <w:rsid w:val="00913747"/>
    <w:rsid w:val="00913A83"/>
    <w:rsid w:val="00913CF3"/>
    <w:rsid w:val="00913E1F"/>
    <w:rsid w:val="00913E2A"/>
    <w:rsid w:val="009141F1"/>
    <w:rsid w:val="00914423"/>
    <w:rsid w:val="00914E41"/>
    <w:rsid w:val="00914F84"/>
    <w:rsid w:val="0091550C"/>
    <w:rsid w:val="00915AE4"/>
    <w:rsid w:val="00915C10"/>
    <w:rsid w:val="00916406"/>
    <w:rsid w:val="009165B6"/>
    <w:rsid w:val="00916D52"/>
    <w:rsid w:val="00917315"/>
    <w:rsid w:val="0091735E"/>
    <w:rsid w:val="00920360"/>
    <w:rsid w:val="00920495"/>
    <w:rsid w:val="009205D3"/>
    <w:rsid w:val="009206D3"/>
    <w:rsid w:val="009210FF"/>
    <w:rsid w:val="009211C1"/>
    <w:rsid w:val="00921B4A"/>
    <w:rsid w:val="0092243E"/>
    <w:rsid w:val="0092262A"/>
    <w:rsid w:val="00922A16"/>
    <w:rsid w:val="00923C81"/>
    <w:rsid w:val="00924623"/>
    <w:rsid w:val="00924921"/>
    <w:rsid w:val="00924B91"/>
    <w:rsid w:val="00924E54"/>
    <w:rsid w:val="00925D33"/>
    <w:rsid w:val="00925FB8"/>
    <w:rsid w:val="009263AF"/>
    <w:rsid w:val="00926656"/>
    <w:rsid w:val="00926801"/>
    <w:rsid w:val="00927CDF"/>
    <w:rsid w:val="00927ED2"/>
    <w:rsid w:val="00930051"/>
    <w:rsid w:val="00930339"/>
    <w:rsid w:val="00930493"/>
    <w:rsid w:val="0093110D"/>
    <w:rsid w:val="00931242"/>
    <w:rsid w:val="0093143B"/>
    <w:rsid w:val="0093143C"/>
    <w:rsid w:val="0093185E"/>
    <w:rsid w:val="00931B33"/>
    <w:rsid w:val="00931BBC"/>
    <w:rsid w:val="00932753"/>
    <w:rsid w:val="00932964"/>
    <w:rsid w:val="00933126"/>
    <w:rsid w:val="00933B20"/>
    <w:rsid w:val="00933E3C"/>
    <w:rsid w:val="00934052"/>
    <w:rsid w:val="00934CFA"/>
    <w:rsid w:val="00935288"/>
    <w:rsid w:val="0093570E"/>
    <w:rsid w:val="009357ED"/>
    <w:rsid w:val="00935EC6"/>
    <w:rsid w:val="0093649F"/>
    <w:rsid w:val="00936676"/>
    <w:rsid w:val="009367DF"/>
    <w:rsid w:val="0093722B"/>
    <w:rsid w:val="009372C1"/>
    <w:rsid w:val="00937988"/>
    <w:rsid w:val="00937AA9"/>
    <w:rsid w:val="00937AB1"/>
    <w:rsid w:val="00940112"/>
    <w:rsid w:val="00940309"/>
    <w:rsid w:val="0094042F"/>
    <w:rsid w:val="00940679"/>
    <w:rsid w:val="0094068D"/>
    <w:rsid w:val="00940D03"/>
    <w:rsid w:val="00941466"/>
    <w:rsid w:val="009419B9"/>
    <w:rsid w:val="00941CAD"/>
    <w:rsid w:val="009421F1"/>
    <w:rsid w:val="00942CA4"/>
    <w:rsid w:val="009432F0"/>
    <w:rsid w:val="0094351B"/>
    <w:rsid w:val="0094380A"/>
    <w:rsid w:val="00943D64"/>
    <w:rsid w:val="00943EB8"/>
    <w:rsid w:val="009443D8"/>
    <w:rsid w:val="0094440F"/>
    <w:rsid w:val="0094449B"/>
    <w:rsid w:val="009454ED"/>
    <w:rsid w:val="009462B7"/>
    <w:rsid w:val="009465FF"/>
    <w:rsid w:val="009469AA"/>
    <w:rsid w:val="00946FCE"/>
    <w:rsid w:val="0094720D"/>
    <w:rsid w:val="0094781E"/>
    <w:rsid w:val="00947920"/>
    <w:rsid w:val="00950888"/>
    <w:rsid w:val="00950A01"/>
    <w:rsid w:val="00950D20"/>
    <w:rsid w:val="0095193F"/>
    <w:rsid w:val="0095235F"/>
    <w:rsid w:val="0095291D"/>
    <w:rsid w:val="009532F2"/>
    <w:rsid w:val="009533C2"/>
    <w:rsid w:val="009536A0"/>
    <w:rsid w:val="00953A52"/>
    <w:rsid w:val="00953FB6"/>
    <w:rsid w:val="0095410D"/>
    <w:rsid w:val="00954495"/>
    <w:rsid w:val="009545DB"/>
    <w:rsid w:val="0095498F"/>
    <w:rsid w:val="00954A3F"/>
    <w:rsid w:val="00955102"/>
    <w:rsid w:val="00956168"/>
    <w:rsid w:val="0095626D"/>
    <w:rsid w:val="00956A5F"/>
    <w:rsid w:val="00956A94"/>
    <w:rsid w:val="00956F0F"/>
    <w:rsid w:val="00957325"/>
    <w:rsid w:val="009573F9"/>
    <w:rsid w:val="009579C9"/>
    <w:rsid w:val="00957D37"/>
    <w:rsid w:val="00961B52"/>
    <w:rsid w:val="00961C44"/>
    <w:rsid w:val="00961D9F"/>
    <w:rsid w:val="009620A8"/>
    <w:rsid w:val="00962597"/>
    <w:rsid w:val="009626D4"/>
    <w:rsid w:val="009626F1"/>
    <w:rsid w:val="00962742"/>
    <w:rsid w:val="00962835"/>
    <w:rsid w:val="0096284E"/>
    <w:rsid w:val="00962B9E"/>
    <w:rsid w:val="00962C26"/>
    <w:rsid w:val="00963219"/>
    <w:rsid w:val="00963374"/>
    <w:rsid w:val="0096398E"/>
    <w:rsid w:val="00963C92"/>
    <w:rsid w:val="00964373"/>
    <w:rsid w:val="00964803"/>
    <w:rsid w:val="00965861"/>
    <w:rsid w:val="009658FF"/>
    <w:rsid w:val="00965BED"/>
    <w:rsid w:val="0096665D"/>
    <w:rsid w:val="00966A82"/>
    <w:rsid w:val="00966B19"/>
    <w:rsid w:val="00966EC9"/>
    <w:rsid w:val="009673B1"/>
    <w:rsid w:val="00967407"/>
    <w:rsid w:val="0096759F"/>
    <w:rsid w:val="00967A16"/>
    <w:rsid w:val="009701BE"/>
    <w:rsid w:val="00970A78"/>
    <w:rsid w:val="009711FA"/>
    <w:rsid w:val="0097137E"/>
    <w:rsid w:val="009721AA"/>
    <w:rsid w:val="009722CC"/>
    <w:rsid w:val="00972986"/>
    <w:rsid w:val="00972CBE"/>
    <w:rsid w:val="00973513"/>
    <w:rsid w:val="00973806"/>
    <w:rsid w:val="0097430D"/>
    <w:rsid w:val="009747C3"/>
    <w:rsid w:val="009748EE"/>
    <w:rsid w:val="00974908"/>
    <w:rsid w:val="009749F9"/>
    <w:rsid w:val="009750B4"/>
    <w:rsid w:val="00975281"/>
    <w:rsid w:val="00976020"/>
    <w:rsid w:val="0097619D"/>
    <w:rsid w:val="0097635E"/>
    <w:rsid w:val="00976525"/>
    <w:rsid w:val="009765C7"/>
    <w:rsid w:val="009769EA"/>
    <w:rsid w:val="009769EE"/>
    <w:rsid w:val="00976A1D"/>
    <w:rsid w:val="00976AC0"/>
    <w:rsid w:val="00976D95"/>
    <w:rsid w:val="009775E4"/>
    <w:rsid w:val="0097768C"/>
    <w:rsid w:val="0098031B"/>
    <w:rsid w:val="00980402"/>
    <w:rsid w:val="009812A6"/>
    <w:rsid w:val="0098142B"/>
    <w:rsid w:val="00983058"/>
    <w:rsid w:val="00983136"/>
    <w:rsid w:val="00983641"/>
    <w:rsid w:val="00983702"/>
    <w:rsid w:val="00983FD7"/>
    <w:rsid w:val="00984906"/>
    <w:rsid w:val="00985350"/>
    <w:rsid w:val="00985599"/>
    <w:rsid w:val="00985735"/>
    <w:rsid w:val="00985D4C"/>
    <w:rsid w:val="00985DCB"/>
    <w:rsid w:val="0098604D"/>
    <w:rsid w:val="009862A4"/>
    <w:rsid w:val="00986447"/>
    <w:rsid w:val="009865DB"/>
    <w:rsid w:val="00986A20"/>
    <w:rsid w:val="00986A3C"/>
    <w:rsid w:val="00986B2E"/>
    <w:rsid w:val="00987AB4"/>
    <w:rsid w:val="00987AC8"/>
    <w:rsid w:val="00990A0A"/>
    <w:rsid w:val="00990AB5"/>
    <w:rsid w:val="00991237"/>
    <w:rsid w:val="009914A5"/>
    <w:rsid w:val="009914EE"/>
    <w:rsid w:val="009919FA"/>
    <w:rsid w:val="00991FAC"/>
    <w:rsid w:val="00991FF7"/>
    <w:rsid w:val="00993136"/>
    <w:rsid w:val="009932BF"/>
    <w:rsid w:val="00993697"/>
    <w:rsid w:val="00993A63"/>
    <w:rsid w:val="00993D41"/>
    <w:rsid w:val="00994037"/>
    <w:rsid w:val="009940F2"/>
    <w:rsid w:val="0099420C"/>
    <w:rsid w:val="00994232"/>
    <w:rsid w:val="009957A0"/>
    <w:rsid w:val="00995842"/>
    <w:rsid w:val="00995C44"/>
    <w:rsid w:val="00995CB9"/>
    <w:rsid w:val="00996732"/>
    <w:rsid w:val="0099685F"/>
    <w:rsid w:val="00996865"/>
    <w:rsid w:val="00996BD8"/>
    <w:rsid w:val="00996E56"/>
    <w:rsid w:val="009971C5"/>
    <w:rsid w:val="009976A0"/>
    <w:rsid w:val="00997759"/>
    <w:rsid w:val="00997B80"/>
    <w:rsid w:val="00997F87"/>
    <w:rsid w:val="009A0097"/>
    <w:rsid w:val="009A0774"/>
    <w:rsid w:val="009A0D83"/>
    <w:rsid w:val="009A17B1"/>
    <w:rsid w:val="009A180E"/>
    <w:rsid w:val="009A1B61"/>
    <w:rsid w:val="009A20BA"/>
    <w:rsid w:val="009A2296"/>
    <w:rsid w:val="009A278E"/>
    <w:rsid w:val="009A38BA"/>
    <w:rsid w:val="009A39C3"/>
    <w:rsid w:val="009A4321"/>
    <w:rsid w:val="009A44D6"/>
    <w:rsid w:val="009A4659"/>
    <w:rsid w:val="009A46F1"/>
    <w:rsid w:val="009A47BB"/>
    <w:rsid w:val="009A496C"/>
    <w:rsid w:val="009A4E9B"/>
    <w:rsid w:val="009A5386"/>
    <w:rsid w:val="009A5410"/>
    <w:rsid w:val="009A54B5"/>
    <w:rsid w:val="009A5D22"/>
    <w:rsid w:val="009A62B1"/>
    <w:rsid w:val="009A6486"/>
    <w:rsid w:val="009A650B"/>
    <w:rsid w:val="009A6A4F"/>
    <w:rsid w:val="009A6DE0"/>
    <w:rsid w:val="009A6FD8"/>
    <w:rsid w:val="009A7C1D"/>
    <w:rsid w:val="009A7C5F"/>
    <w:rsid w:val="009B0091"/>
    <w:rsid w:val="009B0103"/>
    <w:rsid w:val="009B132A"/>
    <w:rsid w:val="009B1BD0"/>
    <w:rsid w:val="009B1C64"/>
    <w:rsid w:val="009B1F71"/>
    <w:rsid w:val="009B204D"/>
    <w:rsid w:val="009B2458"/>
    <w:rsid w:val="009B2545"/>
    <w:rsid w:val="009B2E78"/>
    <w:rsid w:val="009B317B"/>
    <w:rsid w:val="009B3D63"/>
    <w:rsid w:val="009B3EB9"/>
    <w:rsid w:val="009B3F9E"/>
    <w:rsid w:val="009B4720"/>
    <w:rsid w:val="009B497E"/>
    <w:rsid w:val="009B4B95"/>
    <w:rsid w:val="009B5631"/>
    <w:rsid w:val="009B5A66"/>
    <w:rsid w:val="009B5B8D"/>
    <w:rsid w:val="009B6C2A"/>
    <w:rsid w:val="009B6E52"/>
    <w:rsid w:val="009B7002"/>
    <w:rsid w:val="009B73BE"/>
    <w:rsid w:val="009B7666"/>
    <w:rsid w:val="009B76BF"/>
    <w:rsid w:val="009B7773"/>
    <w:rsid w:val="009B79A2"/>
    <w:rsid w:val="009C018F"/>
    <w:rsid w:val="009C02CB"/>
    <w:rsid w:val="009C04F0"/>
    <w:rsid w:val="009C0E59"/>
    <w:rsid w:val="009C1059"/>
    <w:rsid w:val="009C1597"/>
    <w:rsid w:val="009C16D0"/>
    <w:rsid w:val="009C202E"/>
    <w:rsid w:val="009C25A5"/>
    <w:rsid w:val="009C2603"/>
    <w:rsid w:val="009C309E"/>
    <w:rsid w:val="009C3109"/>
    <w:rsid w:val="009C33F2"/>
    <w:rsid w:val="009C49AB"/>
    <w:rsid w:val="009C49F3"/>
    <w:rsid w:val="009C4D65"/>
    <w:rsid w:val="009C560E"/>
    <w:rsid w:val="009C6371"/>
    <w:rsid w:val="009C6BC5"/>
    <w:rsid w:val="009C6FE4"/>
    <w:rsid w:val="009C7092"/>
    <w:rsid w:val="009C7124"/>
    <w:rsid w:val="009C73C1"/>
    <w:rsid w:val="009C7824"/>
    <w:rsid w:val="009C7DCE"/>
    <w:rsid w:val="009D002D"/>
    <w:rsid w:val="009D003F"/>
    <w:rsid w:val="009D01C7"/>
    <w:rsid w:val="009D045F"/>
    <w:rsid w:val="009D08C5"/>
    <w:rsid w:val="009D0D8B"/>
    <w:rsid w:val="009D0F1C"/>
    <w:rsid w:val="009D0F7F"/>
    <w:rsid w:val="009D1329"/>
    <w:rsid w:val="009D1644"/>
    <w:rsid w:val="009D1AAB"/>
    <w:rsid w:val="009D1B02"/>
    <w:rsid w:val="009D1CC0"/>
    <w:rsid w:val="009D2406"/>
    <w:rsid w:val="009D2A13"/>
    <w:rsid w:val="009D371A"/>
    <w:rsid w:val="009D3BED"/>
    <w:rsid w:val="009D40D0"/>
    <w:rsid w:val="009D49E7"/>
    <w:rsid w:val="009D4A0A"/>
    <w:rsid w:val="009D4BAA"/>
    <w:rsid w:val="009D4C0D"/>
    <w:rsid w:val="009D55AA"/>
    <w:rsid w:val="009D55BA"/>
    <w:rsid w:val="009D583B"/>
    <w:rsid w:val="009D5E8A"/>
    <w:rsid w:val="009D602A"/>
    <w:rsid w:val="009D6244"/>
    <w:rsid w:val="009D6354"/>
    <w:rsid w:val="009D682C"/>
    <w:rsid w:val="009D6D7F"/>
    <w:rsid w:val="009D6E72"/>
    <w:rsid w:val="009D75BD"/>
    <w:rsid w:val="009E0683"/>
    <w:rsid w:val="009E0B4C"/>
    <w:rsid w:val="009E19A1"/>
    <w:rsid w:val="009E1D78"/>
    <w:rsid w:val="009E2049"/>
    <w:rsid w:val="009E286F"/>
    <w:rsid w:val="009E3075"/>
    <w:rsid w:val="009E314C"/>
    <w:rsid w:val="009E370B"/>
    <w:rsid w:val="009E3A60"/>
    <w:rsid w:val="009E3AB4"/>
    <w:rsid w:val="009E40F6"/>
    <w:rsid w:val="009E44C7"/>
    <w:rsid w:val="009E505E"/>
    <w:rsid w:val="009E5331"/>
    <w:rsid w:val="009E5498"/>
    <w:rsid w:val="009E5690"/>
    <w:rsid w:val="009E58FC"/>
    <w:rsid w:val="009E5AA2"/>
    <w:rsid w:val="009E5D05"/>
    <w:rsid w:val="009E65AC"/>
    <w:rsid w:val="009E69F2"/>
    <w:rsid w:val="009E6BB4"/>
    <w:rsid w:val="009E6E73"/>
    <w:rsid w:val="009E7C06"/>
    <w:rsid w:val="009E7EBB"/>
    <w:rsid w:val="009F0330"/>
    <w:rsid w:val="009F0556"/>
    <w:rsid w:val="009F117B"/>
    <w:rsid w:val="009F1418"/>
    <w:rsid w:val="009F165D"/>
    <w:rsid w:val="009F1663"/>
    <w:rsid w:val="009F19D4"/>
    <w:rsid w:val="009F1A0B"/>
    <w:rsid w:val="009F255F"/>
    <w:rsid w:val="009F2BD0"/>
    <w:rsid w:val="009F2EBB"/>
    <w:rsid w:val="009F2F1D"/>
    <w:rsid w:val="009F30A5"/>
    <w:rsid w:val="009F3140"/>
    <w:rsid w:val="009F32B6"/>
    <w:rsid w:val="009F396E"/>
    <w:rsid w:val="009F46C3"/>
    <w:rsid w:val="009F46D4"/>
    <w:rsid w:val="009F49A0"/>
    <w:rsid w:val="009F4DB4"/>
    <w:rsid w:val="009F50F7"/>
    <w:rsid w:val="009F5172"/>
    <w:rsid w:val="009F52B5"/>
    <w:rsid w:val="009F5396"/>
    <w:rsid w:val="009F5781"/>
    <w:rsid w:val="009F591D"/>
    <w:rsid w:val="009F6B0E"/>
    <w:rsid w:val="009F735D"/>
    <w:rsid w:val="009F75AC"/>
    <w:rsid w:val="009F7633"/>
    <w:rsid w:val="009F76F1"/>
    <w:rsid w:val="009F78B5"/>
    <w:rsid w:val="009F7913"/>
    <w:rsid w:val="009F7F59"/>
    <w:rsid w:val="00A005C6"/>
    <w:rsid w:val="00A0080F"/>
    <w:rsid w:val="00A01999"/>
    <w:rsid w:val="00A0202E"/>
    <w:rsid w:val="00A02284"/>
    <w:rsid w:val="00A02D7E"/>
    <w:rsid w:val="00A0353A"/>
    <w:rsid w:val="00A03F5C"/>
    <w:rsid w:val="00A04129"/>
    <w:rsid w:val="00A04CCC"/>
    <w:rsid w:val="00A04D54"/>
    <w:rsid w:val="00A04E6F"/>
    <w:rsid w:val="00A04EB0"/>
    <w:rsid w:val="00A05068"/>
    <w:rsid w:val="00A051A0"/>
    <w:rsid w:val="00A05A98"/>
    <w:rsid w:val="00A05B2F"/>
    <w:rsid w:val="00A063A3"/>
    <w:rsid w:val="00A06414"/>
    <w:rsid w:val="00A0647B"/>
    <w:rsid w:val="00A06689"/>
    <w:rsid w:val="00A06C12"/>
    <w:rsid w:val="00A070CC"/>
    <w:rsid w:val="00A075E2"/>
    <w:rsid w:val="00A10620"/>
    <w:rsid w:val="00A10917"/>
    <w:rsid w:val="00A11744"/>
    <w:rsid w:val="00A117CD"/>
    <w:rsid w:val="00A11989"/>
    <w:rsid w:val="00A11AC3"/>
    <w:rsid w:val="00A1216C"/>
    <w:rsid w:val="00A12317"/>
    <w:rsid w:val="00A12373"/>
    <w:rsid w:val="00A13052"/>
    <w:rsid w:val="00A13074"/>
    <w:rsid w:val="00A1363C"/>
    <w:rsid w:val="00A136D2"/>
    <w:rsid w:val="00A13877"/>
    <w:rsid w:val="00A13CA9"/>
    <w:rsid w:val="00A13E75"/>
    <w:rsid w:val="00A140C5"/>
    <w:rsid w:val="00A1411D"/>
    <w:rsid w:val="00A1442F"/>
    <w:rsid w:val="00A1449E"/>
    <w:rsid w:val="00A144AA"/>
    <w:rsid w:val="00A147EF"/>
    <w:rsid w:val="00A14A21"/>
    <w:rsid w:val="00A14ECB"/>
    <w:rsid w:val="00A150A5"/>
    <w:rsid w:val="00A15D97"/>
    <w:rsid w:val="00A15F1E"/>
    <w:rsid w:val="00A160E6"/>
    <w:rsid w:val="00A16708"/>
    <w:rsid w:val="00A167E5"/>
    <w:rsid w:val="00A16D95"/>
    <w:rsid w:val="00A170B7"/>
    <w:rsid w:val="00A17120"/>
    <w:rsid w:val="00A17343"/>
    <w:rsid w:val="00A17EE4"/>
    <w:rsid w:val="00A17FCB"/>
    <w:rsid w:val="00A202B7"/>
    <w:rsid w:val="00A205F2"/>
    <w:rsid w:val="00A20977"/>
    <w:rsid w:val="00A21473"/>
    <w:rsid w:val="00A2152A"/>
    <w:rsid w:val="00A216D2"/>
    <w:rsid w:val="00A21856"/>
    <w:rsid w:val="00A21F3D"/>
    <w:rsid w:val="00A22170"/>
    <w:rsid w:val="00A22455"/>
    <w:rsid w:val="00A224CB"/>
    <w:rsid w:val="00A2301E"/>
    <w:rsid w:val="00A2310D"/>
    <w:rsid w:val="00A236C5"/>
    <w:rsid w:val="00A237A4"/>
    <w:rsid w:val="00A23B2B"/>
    <w:rsid w:val="00A23D5D"/>
    <w:rsid w:val="00A24593"/>
    <w:rsid w:val="00A2461D"/>
    <w:rsid w:val="00A2462A"/>
    <w:rsid w:val="00A24DEC"/>
    <w:rsid w:val="00A24E89"/>
    <w:rsid w:val="00A253B8"/>
    <w:rsid w:val="00A2541F"/>
    <w:rsid w:val="00A2567D"/>
    <w:rsid w:val="00A25B7F"/>
    <w:rsid w:val="00A25C3F"/>
    <w:rsid w:val="00A25CCB"/>
    <w:rsid w:val="00A25D29"/>
    <w:rsid w:val="00A25E0D"/>
    <w:rsid w:val="00A269B0"/>
    <w:rsid w:val="00A270D1"/>
    <w:rsid w:val="00A2774F"/>
    <w:rsid w:val="00A27858"/>
    <w:rsid w:val="00A27AA4"/>
    <w:rsid w:val="00A30495"/>
    <w:rsid w:val="00A30D77"/>
    <w:rsid w:val="00A30E47"/>
    <w:rsid w:val="00A30EFA"/>
    <w:rsid w:val="00A3179D"/>
    <w:rsid w:val="00A31A68"/>
    <w:rsid w:val="00A31DF6"/>
    <w:rsid w:val="00A323D2"/>
    <w:rsid w:val="00A32845"/>
    <w:rsid w:val="00A32B2E"/>
    <w:rsid w:val="00A32B55"/>
    <w:rsid w:val="00A32C1B"/>
    <w:rsid w:val="00A32D39"/>
    <w:rsid w:val="00A32F80"/>
    <w:rsid w:val="00A3339A"/>
    <w:rsid w:val="00A339CE"/>
    <w:rsid w:val="00A342F0"/>
    <w:rsid w:val="00A34574"/>
    <w:rsid w:val="00A348A4"/>
    <w:rsid w:val="00A34C1D"/>
    <w:rsid w:val="00A34CB6"/>
    <w:rsid w:val="00A353E4"/>
    <w:rsid w:val="00A35521"/>
    <w:rsid w:val="00A358A2"/>
    <w:rsid w:val="00A35E1B"/>
    <w:rsid w:val="00A36155"/>
    <w:rsid w:val="00A371A9"/>
    <w:rsid w:val="00A374B8"/>
    <w:rsid w:val="00A378C4"/>
    <w:rsid w:val="00A37C56"/>
    <w:rsid w:val="00A37D18"/>
    <w:rsid w:val="00A40D42"/>
    <w:rsid w:val="00A40DE0"/>
    <w:rsid w:val="00A414E5"/>
    <w:rsid w:val="00A41906"/>
    <w:rsid w:val="00A41BF5"/>
    <w:rsid w:val="00A42184"/>
    <w:rsid w:val="00A425B0"/>
    <w:rsid w:val="00A42604"/>
    <w:rsid w:val="00A4262B"/>
    <w:rsid w:val="00A42CB1"/>
    <w:rsid w:val="00A433DF"/>
    <w:rsid w:val="00A433F8"/>
    <w:rsid w:val="00A43925"/>
    <w:rsid w:val="00A439A0"/>
    <w:rsid w:val="00A43C8D"/>
    <w:rsid w:val="00A43D73"/>
    <w:rsid w:val="00A446B8"/>
    <w:rsid w:val="00A44EC7"/>
    <w:rsid w:val="00A44FE2"/>
    <w:rsid w:val="00A45364"/>
    <w:rsid w:val="00A466B8"/>
    <w:rsid w:val="00A46CAD"/>
    <w:rsid w:val="00A46CC4"/>
    <w:rsid w:val="00A46E10"/>
    <w:rsid w:val="00A46E61"/>
    <w:rsid w:val="00A46EE2"/>
    <w:rsid w:val="00A47698"/>
    <w:rsid w:val="00A478F2"/>
    <w:rsid w:val="00A47A78"/>
    <w:rsid w:val="00A50654"/>
    <w:rsid w:val="00A5093F"/>
    <w:rsid w:val="00A50B36"/>
    <w:rsid w:val="00A51056"/>
    <w:rsid w:val="00A5121E"/>
    <w:rsid w:val="00A5153E"/>
    <w:rsid w:val="00A52139"/>
    <w:rsid w:val="00A5218F"/>
    <w:rsid w:val="00A522C5"/>
    <w:rsid w:val="00A527FA"/>
    <w:rsid w:val="00A52B89"/>
    <w:rsid w:val="00A53FF4"/>
    <w:rsid w:val="00A54002"/>
    <w:rsid w:val="00A549D3"/>
    <w:rsid w:val="00A54E96"/>
    <w:rsid w:val="00A5545D"/>
    <w:rsid w:val="00A554CD"/>
    <w:rsid w:val="00A5588B"/>
    <w:rsid w:val="00A55D2B"/>
    <w:rsid w:val="00A56435"/>
    <w:rsid w:val="00A5686A"/>
    <w:rsid w:val="00A5698E"/>
    <w:rsid w:val="00A56D2E"/>
    <w:rsid w:val="00A572FB"/>
    <w:rsid w:val="00A57B6C"/>
    <w:rsid w:val="00A57BD3"/>
    <w:rsid w:val="00A57E5C"/>
    <w:rsid w:val="00A57EF4"/>
    <w:rsid w:val="00A60112"/>
    <w:rsid w:val="00A60553"/>
    <w:rsid w:val="00A60714"/>
    <w:rsid w:val="00A60DD5"/>
    <w:rsid w:val="00A6167C"/>
    <w:rsid w:val="00A61C0B"/>
    <w:rsid w:val="00A61D61"/>
    <w:rsid w:val="00A61DC1"/>
    <w:rsid w:val="00A6291E"/>
    <w:rsid w:val="00A62EF6"/>
    <w:rsid w:val="00A62FAB"/>
    <w:rsid w:val="00A63227"/>
    <w:rsid w:val="00A6339F"/>
    <w:rsid w:val="00A635E9"/>
    <w:rsid w:val="00A63D67"/>
    <w:rsid w:val="00A63EC1"/>
    <w:rsid w:val="00A63F8F"/>
    <w:rsid w:val="00A647D1"/>
    <w:rsid w:val="00A64996"/>
    <w:rsid w:val="00A64CA1"/>
    <w:rsid w:val="00A64F0F"/>
    <w:rsid w:val="00A65503"/>
    <w:rsid w:val="00A656D5"/>
    <w:rsid w:val="00A658BD"/>
    <w:rsid w:val="00A66240"/>
    <w:rsid w:val="00A668D4"/>
    <w:rsid w:val="00A66917"/>
    <w:rsid w:val="00A66A8C"/>
    <w:rsid w:val="00A66E44"/>
    <w:rsid w:val="00A6719D"/>
    <w:rsid w:val="00A673C4"/>
    <w:rsid w:val="00A673EF"/>
    <w:rsid w:val="00A67522"/>
    <w:rsid w:val="00A67939"/>
    <w:rsid w:val="00A67E4A"/>
    <w:rsid w:val="00A67E7A"/>
    <w:rsid w:val="00A7123D"/>
    <w:rsid w:val="00A7131E"/>
    <w:rsid w:val="00A71AB5"/>
    <w:rsid w:val="00A71D5F"/>
    <w:rsid w:val="00A720EC"/>
    <w:rsid w:val="00A7232F"/>
    <w:rsid w:val="00A72F9E"/>
    <w:rsid w:val="00A73636"/>
    <w:rsid w:val="00A73F4B"/>
    <w:rsid w:val="00A7443B"/>
    <w:rsid w:val="00A74BFE"/>
    <w:rsid w:val="00A74C75"/>
    <w:rsid w:val="00A75A7E"/>
    <w:rsid w:val="00A75BC2"/>
    <w:rsid w:val="00A76687"/>
    <w:rsid w:val="00A7671B"/>
    <w:rsid w:val="00A768C3"/>
    <w:rsid w:val="00A76B9C"/>
    <w:rsid w:val="00A76BDC"/>
    <w:rsid w:val="00A76E67"/>
    <w:rsid w:val="00A76F86"/>
    <w:rsid w:val="00A7774D"/>
    <w:rsid w:val="00A77964"/>
    <w:rsid w:val="00A80149"/>
    <w:rsid w:val="00A80541"/>
    <w:rsid w:val="00A8080C"/>
    <w:rsid w:val="00A80F48"/>
    <w:rsid w:val="00A815DB"/>
    <w:rsid w:val="00A81814"/>
    <w:rsid w:val="00A81A96"/>
    <w:rsid w:val="00A81BC1"/>
    <w:rsid w:val="00A81D15"/>
    <w:rsid w:val="00A81F46"/>
    <w:rsid w:val="00A824A5"/>
    <w:rsid w:val="00A828D9"/>
    <w:rsid w:val="00A82B79"/>
    <w:rsid w:val="00A82C78"/>
    <w:rsid w:val="00A82E7C"/>
    <w:rsid w:val="00A8337B"/>
    <w:rsid w:val="00A833BD"/>
    <w:rsid w:val="00A83447"/>
    <w:rsid w:val="00A83B7D"/>
    <w:rsid w:val="00A83F18"/>
    <w:rsid w:val="00A84792"/>
    <w:rsid w:val="00A849AB"/>
    <w:rsid w:val="00A84B2F"/>
    <w:rsid w:val="00A84E39"/>
    <w:rsid w:val="00A84E3D"/>
    <w:rsid w:val="00A850C7"/>
    <w:rsid w:val="00A852C4"/>
    <w:rsid w:val="00A857A2"/>
    <w:rsid w:val="00A86044"/>
    <w:rsid w:val="00A866C1"/>
    <w:rsid w:val="00A86CE4"/>
    <w:rsid w:val="00A86CFD"/>
    <w:rsid w:val="00A87025"/>
    <w:rsid w:val="00A871B2"/>
    <w:rsid w:val="00A872FA"/>
    <w:rsid w:val="00A87355"/>
    <w:rsid w:val="00A873A1"/>
    <w:rsid w:val="00A87995"/>
    <w:rsid w:val="00A901C0"/>
    <w:rsid w:val="00A9092B"/>
    <w:rsid w:val="00A913BE"/>
    <w:rsid w:val="00A91A62"/>
    <w:rsid w:val="00A92094"/>
    <w:rsid w:val="00A92A12"/>
    <w:rsid w:val="00A92F28"/>
    <w:rsid w:val="00A931BA"/>
    <w:rsid w:val="00A93A95"/>
    <w:rsid w:val="00A94B3B"/>
    <w:rsid w:val="00A94EDE"/>
    <w:rsid w:val="00A94FFC"/>
    <w:rsid w:val="00A952B9"/>
    <w:rsid w:val="00A95305"/>
    <w:rsid w:val="00A953D9"/>
    <w:rsid w:val="00A95680"/>
    <w:rsid w:val="00A96008"/>
    <w:rsid w:val="00A960BE"/>
    <w:rsid w:val="00A960DD"/>
    <w:rsid w:val="00A964BD"/>
    <w:rsid w:val="00A96761"/>
    <w:rsid w:val="00A96CE0"/>
    <w:rsid w:val="00A96F5E"/>
    <w:rsid w:val="00AA04D5"/>
    <w:rsid w:val="00AA093C"/>
    <w:rsid w:val="00AA0C36"/>
    <w:rsid w:val="00AA0D65"/>
    <w:rsid w:val="00AA0FFB"/>
    <w:rsid w:val="00AA1191"/>
    <w:rsid w:val="00AA1265"/>
    <w:rsid w:val="00AA1D5F"/>
    <w:rsid w:val="00AA1E2A"/>
    <w:rsid w:val="00AA1E3C"/>
    <w:rsid w:val="00AA2086"/>
    <w:rsid w:val="00AA20DC"/>
    <w:rsid w:val="00AA21D4"/>
    <w:rsid w:val="00AA22CF"/>
    <w:rsid w:val="00AA2649"/>
    <w:rsid w:val="00AA3C17"/>
    <w:rsid w:val="00AA3C6F"/>
    <w:rsid w:val="00AA3E97"/>
    <w:rsid w:val="00AA3FF0"/>
    <w:rsid w:val="00AA4271"/>
    <w:rsid w:val="00AA4608"/>
    <w:rsid w:val="00AA4E57"/>
    <w:rsid w:val="00AA4F0B"/>
    <w:rsid w:val="00AA5180"/>
    <w:rsid w:val="00AA5331"/>
    <w:rsid w:val="00AA5363"/>
    <w:rsid w:val="00AA64D8"/>
    <w:rsid w:val="00AA6691"/>
    <w:rsid w:val="00AA678A"/>
    <w:rsid w:val="00AA74B5"/>
    <w:rsid w:val="00AA7683"/>
    <w:rsid w:val="00AA7C63"/>
    <w:rsid w:val="00AA7DFC"/>
    <w:rsid w:val="00AA7FDE"/>
    <w:rsid w:val="00AB097D"/>
    <w:rsid w:val="00AB0AA1"/>
    <w:rsid w:val="00AB0C9F"/>
    <w:rsid w:val="00AB0CD6"/>
    <w:rsid w:val="00AB22B5"/>
    <w:rsid w:val="00AB32DD"/>
    <w:rsid w:val="00AB368B"/>
    <w:rsid w:val="00AB3980"/>
    <w:rsid w:val="00AB410B"/>
    <w:rsid w:val="00AB43FC"/>
    <w:rsid w:val="00AB4836"/>
    <w:rsid w:val="00AB4F9E"/>
    <w:rsid w:val="00AB5018"/>
    <w:rsid w:val="00AB540F"/>
    <w:rsid w:val="00AB587A"/>
    <w:rsid w:val="00AB589B"/>
    <w:rsid w:val="00AB5BEA"/>
    <w:rsid w:val="00AB5EEC"/>
    <w:rsid w:val="00AB6461"/>
    <w:rsid w:val="00AB6BF2"/>
    <w:rsid w:val="00AB6F3E"/>
    <w:rsid w:val="00AB7DE6"/>
    <w:rsid w:val="00AB7F49"/>
    <w:rsid w:val="00AC0231"/>
    <w:rsid w:val="00AC05A7"/>
    <w:rsid w:val="00AC08D6"/>
    <w:rsid w:val="00AC0AAE"/>
    <w:rsid w:val="00AC120C"/>
    <w:rsid w:val="00AC2990"/>
    <w:rsid w:val="00AC31BC"/>
    <w:rsid w:val="00AC3729"/>
    <w:rsid w:val="00AC41F3"/>
    <w:rsid w:val="00AC455F"/>
    <w:rsid w:val="00AC4719"/>
    <w:rsid w:val="00AC5549"/>
    <w:rsid w:val="00AC5A28"/>
    <w:rsid w:val="00AC5C70"/>
    <w:rsid w:val="00AC5EC2"/>
    <w:rsid w:val="00AC6946"/>
    <w:rsid w:val="00AC6A9E"/>
    <w:rsid w:val="00AC7072"/>
    <w:rsid w:val="00AC722A"/>
    <w:rsid w:val="00AC778E"/>
    <w:rsid w:val="00AC7943"/>
    <w:rsid w:val="00AC7B71"/>
    <w:rsid w:val="00AD001C"/>
    <w:rsid w:val="00AD005E"/>
    <w:rsid w:val="00AD04CD"/>
    <w:rsid w:val="00AD0638"/>
    <w:rsid w:val="00AD0FD4"/>
    <w:rsid w:val="00AD1050"/>
    <w:rsid w:val="00AD10CA"/>
    <w:rsid w:val="00AD116D"/>
    <w:rsid w:val="00AD1252"/>
    <w:rsid w:val="00AD1864"/>
    <w:rsid w:val="00AD257B"/>
    <w:rsid w:val="00AD2A12"/>
    <w:rsid w:val="00AD2F82"/>
    <w:rsid w:val="00AD30FF"/>
    <w:rsid w:val="00AD3103"/>
    <w:rsid w:val="00AD35BA"/>
    <w:rsid w:val="00AD3DC6"/>
    <w:rsid w:val="00AD46DD"/>
    <w:rsid w:val="00AD483F"/>
    <w:rsid w:val="00AD5185"/>
    <w:rsid w:val="00AD5270"/>
    <w:rsid w:val="00AD658B"/>
    <w:rsid w:val="00AD68B0"/>
    <w:rsid w:val="00AD6929"/>
    <w:rsid w:val="00AD6A9D"/>
    <w:rsid w:val="00AD6DDE"/>
    <w:rsid w:val="00AD6FEB"/>
    <w:rsid w:val="00AD76AA"/>
    <w:rsid w:val="00AD7858"/>
    <w:rsid w:val="00AD7CC2"/>
    <w:rsid w:val="00AD7D31"/>
    <w:rsid w:val="00AE0314"/>
    <w:rsid w:val="00AE117D"/>
    <w:rsid w:val="00AE13DF"/>
    <w:rsid w:val="00AE19DB"/>
    <w:rsid w:val="00AE1F97"/>
    <w:rsid w:val="00AE2836"/>
    <w:rsid w:val="00AE2BCC"/>
    <w:rsid w:val="00AE2D7A"/>
    <w:rsid w:val="00AE2FE6"/>
    <w:rsid w:val="00AE31A1"/>
    <w:rsid w:val="00AE3AF7"/>
    <w:rsid w:val="00AE3EE7"/>
    <w:rsid w:val="00AE40F9"/>
    <w:rsid w:val="00AE4462"/>
    <w:rsid w:val="00AE4547"/>
    <w:rsid w:val="00AE47E0"/>
    <w:rsid w:val="00AE4D64"/>
    <w:rsid w:val="00AE523F"/>
    <w:rsid w:val="00AE54C3"/>
    <w:rsid w:val="00AE562C"/>
    <w:rsid w:val="00AE5634"/>
    <w:rsid w:val="00AE5A78"/>
    <w:rsid w:val="00AE5AB1"/>
    <w:rsid w:val="00AE6343"/>
    <w:rsid w:val="00AE658A"/>
    <w:rsid w:val="00AE6624"/>
    <w:rsid w:val="00AE6B69"/>
    <w:rsid w:val="00AE6D3F"/>
    <w:rsid w:val="00AE706F"/>
    <w:rsid w:val="00AE7EF6"/>
    <w:rsid w:val="00AF073E"/>
    <w:rsid w:val="00AF08A8"/>
    <w:rsid w:val="00AF0D94"/>
    <w:rsid w:val="00AF0DAA"/>
    <w:rsid w:val="00AF10B9"/>
    <w:rsid w:val="00AF11BB"/>
    <w:rsid w:val="00AF13E7"/>
    <w:rsid w:val="00AF1542"/>
    <w:rsid w:val="00AF157E"/>
    <w:rsid w:val="00AF1BD1"/>
    <w:rsid w:val="00AF1BDA"/>
    <w:rsid w:val="00AF1CED"/>
    <w:rsid w:val="00AF1F00"/>
    <w:rsid w:val="00AF28D4"/>
    <w:rsid w:val="00AF3602"/>
    <w:rsid w:val="00AF3683"/>
    <w:rsid w:val="00AF39A2"/>
    <w:rsid w:val="00AF3C5A"/>
    <w:rsid w:val="00AF444B"/>
    <w:rsid w:val="00AF4698"/>
    <w:rsid w:val="00AF4B40"/>
    <w:rsid w:val="00AF57B9"/>
    <w:rsid w:val="00AF58E7"/>
    <w:rsid w:val="00AF5A45"/>
    <w:rsid w:val="00AF5B14"/>
    <w:rsid w:val="00AF5D29"/>
    <w:rsid w:val="00AF5DF8"/>
    <w:rsid w:val="00AF690B"/>
    <w:rsid w:val="00AF6C42"/>
    <w:rsid w:val="00AF7267"/>
    <w:rsid w:val="00AF7DF9"/>
    <w:rsid w:val="00AF7F5B"/>
    <w:rsid w:val="00AF7FC1"/>
    <w:rsid w:val="00B00282"/>
    <w:rsid w:val="00B00764"/>
    <w:rsid w:val="00B00EAC"/>
    <w:rsid w:val="00B00F4B"/>
    <w:rsid w:val="00B00FAD"/>
    <w:rsid w:val="00B010C6"/>
    <w:rsid w:val="00B01231"/>
    <w:rsid w:val="00B014CB"/>
    <w:rsid w:val="00B01611"/>
    <w:rsid w:val="00B016A5"/>
    <w:rsid w:val="00B01B57"/>
    <w:rsid w:val="00B01DDA"/>
    <w:rsid w:val="00B0204C"/>
    <w:rsid w:val="00B025CB"/>
    <w:rsid w:val="00B03059"/>
    <w:rsid w:val="00B03384"/>
    <w:rsid w:val="00B03864"/>
    <w:rsid w:val="00B03872"/>
    <w:rsid w:val="00B03B05"/>
    <w:rsid w:val="00B03E6E"/>
    <w:rsid w:val="00B042CF"/>
    <w:rsid w:val="00B0496E"/>
    <w:rsid w:val="00B04FE3"/>
    <w:rsid w:val="00B051EE"/>
    <w:rsid w:val="00B056BD"/>
    <w:rsid w:val="00B05B17"/>
    <w:rsid w:val="00B05B4F"/>
    <w:rsid w:val="00B06361"/>
    <w:rsid w:val="00B069F5"/>
    <w:rsid w:val="00B06DD4"/>
    <w:rsid w:val="00B07009"/>
    <w:rsid w:val="00B070B3"/>
    <w:rsid w:val="00B0710E"/>
    <w:rsid w:val="00B071E2"/>
    <w:rsid w:val="00B0745E"/>
    <w:rsid w:val="00B07A0D"/>
    <w:rsid w:val="00B103B0"/>
    <w:rsid w:val="00B10DED"/>
    <w:rsid w:val="00B11491"/>
    <w:rsid w:val="00B11944"/>
    <w:rsid w:val="00B12754"/>
    <w:rsid w:val="00B12FB7"/>
    <w:rsid w:val="00B132D8"/>
    <w:rsid w:val="00B13319"/>
    <w:rsid w:val="00B13349"/>
    <w:rsid w:val="00B13428"/>
    <w:rsid w:val="00B1351F"/>
    <w:rsid w:val="00B13794"/>
    <w:rsid w:val="00B13E4B"/>
    <w:rsid w:val="00B1415B"/>
    <w:rsid w:val="00B146A2"/>
    <w:rsid w:val="00B14C06"/>
    <w:rsid w:val="00B1585E"/>
    <w:rsid w:val="00B159C5"/>
    <w:rsid w:val="00B16467"/>
    <w:rsid w:val="00B165E7"/>
    <w:rsid w:val="00B16745"/>
    <w:rsid w:val="00B16FDB"/>
    <w:rsid w:val="00B17451"/>
    <w:rsid w:val="00B1755C"/>
    <w:rsid w:val="00B176E0"/>
    <w:rsid w:val="00B17A26"/>
    <w:rsid w:val="00B17CD2"/>
    <w:rsid w:val="00B17EB5"/>
    <w:rsid w:val="00B202A7"/>
    <w:rsid w:val="00B202FE"/>
    <w:rsid w:val="00B2059F"/>
    <w:rsid w:val="00B208E5"/>
    <w:rsid w:val="00B21C15"/>
    <w:rsid w:val="00B22258"/>
    <w:rsid w:val="00B22454"/>
    <w:rsid w:val="00B226B1"/>
    <w:rsid w:val="00B22C10"/>
    <w:rsid w:val="00B22ED9"/>
    <w:rsid w:val="00B2390D"/>
    <w:rsid w:val="00B23C44"/>
    <w:rsid w:val="00B23D4D"/>
    <w:rsid w:val="00B24857"/>
    <w:rsid w:val="00B2490E"/>
    <w:rsid w:val="00B2519B"/>
    <w:rsid w:val="00B258EA"/>
    <w:rsid w:val="00B25BFC"/>
    <w:rsid w:val="00B262D7"/>
    <w:rsid w:val="00B266AB"/>
    <w:rsid w:val="00B270EB"/>
    <w:rsid w:val="00B275BF"/>
    <w:rsid w:val="00B27E19"/>
    <w:rsid w:val="00B30279"/>
    <w:rsid w:val="00B305ED"/>
    <w:rsid w:val="00B3073E"/>
    <w:rsid w:val="00B30A0B"/>
    <w:rsid w:val="00B30A5E"/>
    <w:rsid w:val="00B30F9E"/>
    <w:rsid w:val="00B3104E"/>
    <w:rsid w:val="00B31194"/>
    <w:rsid w:val="00B315F3"/>
    <w:rsid w:val="00B31E75"/>
    <w:rsid w:val="00B32309"/>
    <w:rsid w:val="00B32D42"/>
    <w:rsid w:val="00B33F96"/>
    <w:rsid w:val="00B3410F"/>
    <w:rsid w:val="00B34418"/>
    <w:rsid w:val="00B344BE"/>
    <w:rsid w:val="00B34527"/>
    <w:rsid w:val="00B3472A"/>
    <w:rsid w:val="00B34BE3"/>
    <w:rsid w:val="00B34E27"/>
    <w:rsid w:val="00B35083"/>
    <w:rsid w:val="00B351BC"/>
    <w:rsid w:val="00B355E2"/>
    <w:rsid w:val="00B3570F"/>
    <w:rsid w:val="00B35DBC"/>
    <w:rsid w:val="00B3605F"/>
    <w:rsid w:val="00B360BC"/>
    <w:rsid w:val="00B364A5"/>
    <w:rsid w:val="00B364C9"/>
    <w:rsid w:val="00B36688"/>
    <w:rsid w:val="00B36857"/>
    <w:rsid w:val="00B36C26"/>
    <w:rsid w:val="00B36FF8"/>
    <w:rsid w:val="00B3728F"/>
    <w:rsid w:val="00B37353"/>
    <w:rsid w:val="00B374A7"/>
    <w:rsid w:val="00B37BD4"/>
    <w:rsid w:val="00B404FF"/>
    <w:rsid w:val="00B40BA6"/>
    <w:rsid w:val="00B41340"/>
    <w:rsid w:val="00B41428"/>
    <w:rsid w:val="00B4178D"/>
    <w:rsid w:val="00B4216D"/>
    <w:rsid w:val="00B425CB"/>
    <w:rsid w:val="00B4292D"/>
    <w:rsid w:val="00B430DC"/>
    <w:rsid w:val="00B4379F"/>
    <w:rsid w:val="00B437C1"/>
    <w:rsid w:val="00B43C59"/>
    <w:rsid w:val="00B44261"/>
    <w:rsid w:val="00B4435E"/>
    <w:rsid w:val="00B447A6"/>
    <w:rsid w:val="00B44D01"/>
    <w:rsid w:val="00B44EAC"/>
    <w:rsid w:val="00B45104"/>
    <w:rsid w:val="00B453C6"/>
    <w:rsid w:val="00B45437"/>
    <w:rsid w:val="00B45769"/>
    <w:rsid w:val="00B45F7D"/>
    <w:rsid w:val="00B4674C"/>
    <w:rsid w:val="00B4697F"/>
    <w:rsid w:val="00B46D51"/>
    <w:rsid w:val="00B46D63"/>
    <w:rsid w:val="00B46E3C"/>
    <w:rsid w:val="00B474EB"/>
    <w:rsid w:val="00B4783C"/>
    <w:rsid w:val="00B500D1"/>
    <w:rsid w:val="00B500E0"/>
    <w:rsid w:val="00B508E4"/>
    <w:rsid w:val="00B50FF5"/>
    <w:rsid w:val="00B51087"/>
    <w:rsid w:val="00B514C0"/>
    <w:rsid w:val="00B52330"/>
    <w:rsid w:val="00B52A0D"/>
    <w:rsid w:val="00B530B1"/>
    <w:rsid w:val="00B5341F"/>
    <w:rsid w:val="00B5368E"/>
    <w:rsid w:val="00B53B44"/>
    <w:rsid w:val="00B53FBD"/>
    <w:rsid w:val="00B53FFE"/>
    <w:rsid w:val="00B54400"/>
    <w:rsid w:val="00B54BF6"/>
    <w:rsid w:val="00B54BF8"/>
    <w:rsid w:val="00B54E97"/>
    <w:rsid w:val="00B54EC9"/>
    <w:rsid w:val="00B5520D"/>
    <w:rsid w:val="00B5527F"/>
    <w:rsid w:val="00B5558B"/>
    <w:rsid w:val="00B55D7F"/>
    <w:rsid w:val="00B55FE3"/>
    <w:rsid w:val="00B561CC"/>
    <w:rsid w:val="00B56275"/>
    <w:rsid w:val="00B56522"/>
    <w:rsid w:val="00B56609"/>
    <w:rsid w:val="00B56704"/>
    <w:rsid w:val="00B56AF4"/>
    <w:rsid w:val="00B56D93"/>
    <w:rsid w:val="00B578FC"/>
    <w:rsid w:val="00B57D4C"/>
    <w:rsid w:val="00B6000A"/>
    <w:rsid w:val="00B6041E"/>
    <w:rsid w:val="00B60AAB"/>
    <w:rsid w:val="00B60EE4"/>
    <w:rsid w:val="00B613A8"/>
    <w:rsid w:val="00B6194D"/>
    <w:rsid w:val="00B62177"/>
    <w:rsid w:val="00B627ED"/>
    <w:rsid w:val="00B62841"/>
    <w:rsid w:val="00B631BD"/>
    <w:rsid w:val="00B63BAB"/>
    <w:rsid w:val="00B640CF"/>
    <w:rsid w:val="00B64B69"/>
    <w:rsid w:val="00B65044"/>
    <w:rsid w:val="00B6526B"/>
    <w:rsid w:val="00B65886"/>
    <w:rsid w:val="00B65BAD"/>
    <w:rsid w:val="00B65C96"/>
    <w:rsid w:val="00B65E1A"/>
    <w:rsid w:val="00B65F09"/>
    <w:rsid w:val="00B66913"/>
    <w:rsid w:val="00B67011"/>
    <w:rsid w:val="00B679A2"/>
    <w:rsid w:val="00B67F02"/>
    <w:rsid w:val="00B700C6"/>
    <w:rsid w:val="00B708E6"/>
    <w:rsid w:val="00B70A07"/>
    <w:rsid w:val="00B70B95"/>
    <w:rsid w:val="00B70D02"/>
    <w:rsid w:val="00B70E26"/>
    <w:rsid w:val="00B70F78"/>
    <w:rsid w:val="00B718A2"/>
    <w:rsid w:val="00B71C39"/>
    <w:rsid w:val="00B71D7F"/>
    <w:rsid w:val="00B71E35"/>
    <w:rsid w:val="00B7207F"/>
    <w:rsid w:val="00B7257B"/>
    <w:rsid w:val="00B728C9"/>
    <w:rsid w:val="00B7294D"/>
    <w:rsid w:val="00B72A63"/>
    <w:rsid w:val="00B7321E"/>
    <w:rsid w:val="00B7369E"/>
    <w:rsid w:val="00B73CA0"/>
    <w:rsid w:val="00B73DD9"/>
    <w:rsid w:val="00B741E1"/>
    <w:rsid w:val="00B74352"/>
    <w:rsid w:val="00B746E7"/>
    <w:rsid w:val="00B7564F"/>
    <w:rsid w:val="00B75A2E"/>
    <w:rsid w:val="00B75C05"/>
    <w:rsid w:val="00B75C8D"/>
    <w:rsid w:val="00B761C7"/>
    <w:rsid w:val="00B762CD"/>
    <w:rsid w:val="00B7673C"/>
    <w:rsid w:val="00B76816"/>
    <w:rsid w:val="00B7685B"/>
    <w:rsid w:val="00B76D99"/>
    <w:rsid w:val="00B777E3"/>
    <w:rsid w:val="00B77831"/>
    <w:rsid w:val="00B8034F"/>
    <w:rsid w:val="00B80704"/>
    <w:rsid w:val="00B80882"/>
    <w:rsid w:val="00B811A6"/>
    <w:rsid w:val="00B8141A"/>
    <w:rsid w:val="00B81608"/>
    <w:rsid w:val="00B81EED"/>
    <w:rsid w:val="00B8284D"/>
    <w:rsid w:val="00B82B95"/>
    <w:rsid w:val="00B82C8F"/>
    <w:rsid w:val="00B82EE3"/>
    <w:rsid w:val="00B830D2"/>
    <w:rsid w:val="00B83C8D"/>
    <w:rsid w:val="00B83D17"/>
    <w:rsid w:val="00B83F3E"/>
    <w:rsid w:val="00B83FE7"/>
    <w:rsid w:val="00B84B50"/>
    <w:rsid w:val="00B84DC5"/>
    <w:rsid w:val="00B84F64"/>
    <w:rsid w:val="00B85196"/>
    <w:rsid w:val="00B854D4"/>
    <w:rsid w:val="00B859C2"/>
    <w:rsid w:val="00B85B75"/>
    <w:rsid w:val="00B85EA1"/>
    <w:rsid w:val="00B8656D"/>
    <w:rsid w:val="00B86A60"/>
    <w:rsid w:val="00B86FD7"/>
    <w:rsid w:val="00B87822"/>
    <w:rsid w:val="00B904CC"/>
    <w:rsid w:val="00B906A9"/>
    <w:rsid w:val="00B90D09"/>
    <w:rsid w:val="00B90D44"/>
    <w:rsid w:val="00B90D56"/>
    <w:rsid w:val="00B912F7"/>
    <w:rsid w:val="00B916DB"/>
    <w:rsid w:val="00B921E8"/>
    <w:rsid w:val="00B922FC"/>
    <w:rsid w:val="00B9234F"/>
    <w:rsid w:val="00B92686"/>
    <w:rsid w:val="00B927D3"/>
    <w:rsid w:val="00B92A14"/>
    <w:rsid w:val="00B935E3"/>
    <w:rsid w:val="00B939D8"/>
    <w:rsid w:val="00B93EF0"/>
    <w:rsid w:val="00B9408A"/>
    <w:rsid w:val="00B9425E"/>
    <w:rsid w:val="00B94A38"/>
    <w:rsid w:val="00B954D2"/>
    <w:rsid w:val="00B95DDE"/>
    <w:rsid w:val="00B95EB3"/>
    <w:rsid w:val="00B961A1"/>
    <w:rsid w:val="00B96644"/>
    <w:rsid w:val="00B96A42"/>
    <w:rsid w:val="00B976B9"/>
    <w:rsid w:val="00B97B96"/>
    <w:rsid w:val="00BA0E69"/>
    <w:rsid w:val="00BA0FA1"/>
    <w:rsid w:val="00BA10A2"/>
    <w:rsid w:val="00BA1A7E"/>
    <w:rsid w:val="00BA1B87"/>
    <w:rsid w:val="00BA21C0"/>
    <w:rsid w:val="00BA22BC"/>
    <w:rsid w:val="00BA2674"/>
    <w:rsid w:val="00BA26CB"/>
    <w:rsid w:val="00BA2909"/>
    <w:rsid w:val="00BA3021"/>
    <w:rsid w:val="00BA3100"/>
    <w:rsid w:val="00BA3EF2"/>
    <w:rsid w:val="00BA4BD0"/>
    <w:rsid w:val="00BA54AD"/>
    <w:rsid w:val="00BA56C5"/>
    <w:rsid w:val="00BA64B7"/>
    <w:rsid w:val="00BA6786"/>
    <w:rsid w:val="00BA68CB"/>
    <w:rsid w:val="00BA70EA"/>
    <w:rsid w:val="00BA75EA"/>
    <w:rsid w:val="00BA7749"/>
    <w:rsid w:val="00BA7B0C"/>
    <w:rsid w:val="00BB0459"/>
    <w:rsid w:val="00BB0855"/>
    <w:rsid w:val="00BB09EF"/>
    <w:rsid w:val="00BB0CF9"/>
    <w:rsid w:val="00BB0E20"/>
    <w:rsid w:val="00BB17E3"/>
    <w:rsid w:val="00BB1A44"/>
    <w:rsid w:val="00BB2047"/>
    <w:rsid w:val="00BB266C"/>
    <w:rsid w:val="00BB2934"/>
    <w:rsid w:val="00BB2C7A"/>
    <w:rsid w:val="00BB332D"/>
    <w:rsid w:val="00BB3666"/>
    <w:rsid w:val="00BB3960"/>
    <w:rsid w:val="00BB3972"/>
    <w:rsid w:val="00BB3D50"/>
    <w:rsid w:val="00BB3DC9"/>
    <w:rsid w:val="00BB3EAD"/>
    <w:rsid w:val="00BB420C"/>
    <w:rsid w:val="00BB4496"/>
    <w:rsid w:val="00BB485D"/>
    <w:rsid w:val="00BB4C36"/>
    <w:rsid w:val="00BB4CCC"/>
    <w:rsid w:val="00BB4E2B"/>
    <w:rsid w:val="00BB582F"/>
    <w:rsid w:val="00BB58E6"/>
    <w:rsid w:val="00BB5A70"/>
    <w:rsid w:val="00BB5C5F"/>
    <w:rsid w:val="00BB6CEA"/>
    <w:rsid w:val="00BB7043"/>
    <w:rsid w:val="00BB7124"/>
    <w:rsid w:val="00BB77F3"/>
    <w:rsid w:val="00BC0576"/>
    <w:rsid w:val="00BC0927"/>
    <w:rsid w:val="00BC0CE1"/>
    <w:rsid w:val="00BC0E84"/>
    <w:rsid w:val="00BC1B09"/>
    <w:rsid w:val="00BC1BC4"/>
    <w:rsid w:val="00BC1DF3"/>
    <w:rsid w:val="00BC21AA"/>
    <w:rsid w:val="00BC22BB"/>
    <w:rsid w:val="00BC2600"/>
    <w:rsid w:val="00BC268C"/>
    <w:rsid w:val="00BC28E4"/>
    <w:rsid w:val="00BC299E"/>
    <w:rsid w:val="00BC2E8F"/>
    <w:rsid w:val="00BC3346"/>
    <w:rsid w:val="00BC38EB"/>
    <w:rsid w:val="00BC392E"/>
    <w:rsid w:val="00BC3B6E"/>
    <w:rsid w:val="00BC3B97"/>
    <w:rsid w:val="00BC3D94"/>
    <w:rsid w:val="00BC3E92"/>
    <w:rsid w:val="00BC4045"/>
    <w:rsid w:val="00BC413D"/>
    <w:rsid w:val="00BC462A"/>
    <w:rsid w:val="00BC50A2"/>
    <w:rsid w:val="00BC5ABD"/>
    <w:rsid w:val="00BC5AC6"/>
    <w:rsid w:val="00BC5C62"/>
    <w:rsid w:val="00BC6006"/>
    <w:rsid w:val="00BC6C18"/>
    <w:rsid w:val="00BC760D"/>
    <w:rsid w:val="00BC77ED"/>
    <w:rsid w:val="00BC7B8B"/>
    <w:rsid w:val="00BD0075"/>
    <w:rsid w:val="00BD0421"/>
    <w:rsid w:val="00BD0D6F"/>
    <w:rsid w:val="00BD1137"/>
    <w:rsid w:val="00BD129C"/>
    <w:rsid w:val="00BD1479"/>
    <w:rsid w:val="00BD160B"/>
    <w:rsid w:val="00BD163E"/>
    <w:rsid w:val="00BD16F6"/>
    <w:rsid w:val="00BD1AD6"/>
    <w:rsid w:val="00BD1ED6"/>
    <w:rsid w:val="00BD2296"/>
    <w:rsid w:val="00BD2379"/>
    <w:rsid w:val="00BD2F2E"/>
    <w:rsid w:val="00BD366A"/>
    <w:rsid w:val="00BD4447"/>
    <w:rsid w:val="00BD4791"/>
    <w:rsid w:val="00BD47A9"/>
    <w:rsid w:val="00BD48F0"/>
    <w:rsid w:val="00BD4A6D"/>
    <w:rsid w:val="00BD610D"/>
    <w:rsid w:val="00BD6386"/>
    <w:rsid w:val="00BD63DB"/>
    <w:rsid w:val="00BD6BA6"/>
    <w:rsid w:val="00BD71C5"/>
    <w:rsid w:val="00BD749B"/>
    <w:rsid w:val="00BD750B"/>
    <w:rsid w:val="00BD76AF"/>
    <w:rsid w:val="00BD76E6"/>
    <w:rsid w:val="00BD78D5"/>
    <w:rsid w:val="00BD7EF0"/>
    <w:rsid w:val="00BE0011"/>
    <w:rsid w:val="00BE033E"/>
    <w:rsid w:val="00BE0C5B"/>
    <w:rsid w:val="00BE1341"/>
    <w:rsid w:val="00BE15A0"/>
    <w:rsid w:val="00BE17D8"/>
    <w:rsid w:val="00BE1BED"/>
    <w:rsid w:val="00BE1C05"/>
    <w:rsid w:val="00BE287C"/>
    <w:rsid w:val="00BE2A75"/>
    <w:rsid w:val="00BE3006"/>
    <w:rsid w:val="00BE3632"/>
    <w:rsid w:val="00BE3B9A"/>
    <w:rsid w:val="00BE47D4"/>
    <w:rsid w:val="00BE52CA"/>
    <w:rsid w:val="00BE52F5"/>
    <w:rsid w:val="00BE5575"/>
    <w:rsid w:val="00BE5676"/>
    <w:rsid w:val="00BE5A11"/>
    <w:rsid w:val="00BE627B"/>
    <w:rsid w:val="00BE63F6"/>
    <w:rsid w:val="00BE643C"/>
    <w:rsid w:val="00BE6812"/>
    <w:rsid w:val="00BE6F2A"/>
    <w:rsid w:val="00BE7480"/>
    <w:rsid w:val="00BF001A"/>
    <w:rsid w:val="00BF0055"/>
    <w:rsid w:val="00BF059B"/>
    <w:rsid w:val="00BF072F"/>
    <w:rsid w:val="00BF0753"/>
    <w:rsid w:val="00BF14A8"/>
    <w:rsid w:val="00BF19B0"/>
    <w:rsid w:val="00BF1BAC"/>
    <w:rsid w:val="00BF1CC7"/>
    <w:rsid w:val="00BF1DCB"/>
    <w:rsid w:val="00BF2481"/>
    <w:rsid w:val="00BF28E3"/>
    <w:rsid w:val="00BF2CD7"/>
    <w:rsid w:val="00BF2EBF"/>
    <w:rsid w:val="00BF2FA9"/>
    <w:rsid w:val="00BF33FC"/>
    <w:rsid w:val="00BF3F26"/>
    <w:rsid w:val="00BF4054"/>
    <w:rsid w:val="00BF50E7"/>
    <w:rsid w:val="00BF552D"/>
    <w:rsid w:val="00BF57A2"/>
    <w:rsid w:val="00BF5BEB"/>
    <w:rsid w:val="00BF5C85"/>
    <w:rsid w:val="00BF6425"/>
    <w:rsid w:val="00BF65EA"/>
    <w:rsid w:val="00BF79BA"/>
    <w:rsid w:val="00BF7FFD"/>
    <w:rsid w:val="00C000D8"/>
    <w:rsid w:val="00C000DE"/>
    <w:rsid w:val="00C0034F"/>
    <w:rsid w:val="00C00641"/>
    <w:rsid w:val="00C00D31"/>
    <w:rsid w:val="00C016E2"/>
    <w:rsid w:val="00C021E4"/>
    <w:rsid w:val="00C02B58"/>
    <w:rsid w:val="00C0303B"/>
    <w:rsid w:val="00C03537"/>
    <w:rsid w:val="00C03653"/>
    <w:rsid w:val="00C03EEC"/>
    <w:rsid w:val="00C04138"/>
    <w:rsid w:val="00C0474A"/>
    <w:rsid w:val="00C047BF"/>
    <w:rsid w:val="00C0493A"/>
    <w:rsid w:val="00C05129"/>
    <w:rsid w:val="00C0571E"/>
    <w:rsid w:val="00C05B27"/>
    <w:rsid w:val="00C05C0C"/>
    <w:rsid w:val="00C05DCE"/>
    <w:rsid w:val="00C05E02"/>
    <w:rsid w:val="00C05FE9"/>
    <w:rsid w:val="00C06885"/>
    <w:rsid w:val="00C068F0"/>
    <w:rsid w:val="00C06C5E"/>
    <w:rsid w:val="00C06C83"/>
    <w:rsid w:val="00C06C96"/>
    <w:rsid w:val="00C06F6B"/>
    <w:rsid w:val="00C06F8D"/>
    <w:rsid w:val="00C071FA"/>
    <w:rsid w:val="00C07365"/>
    <w:rsid w:val="00C0748E"/>
    <w:rsid w:val="00C10228"/>
    <w:rsid w:val="00C104A1"/>
    <w:rsid w:val="00C10AC7"/>
    <w:rsid w:val="00C1121D"/>
    <w:rsid w:val="00C1142E"/>
    <w:rsid w:val="00C11595"/>
    <w:rsid w:val="00C11A4E"/>
    <w:rsid w:val="00C11CD2"/>
    <w:rsid w:val="00C11F6F"/>
    <w:rsid w:val="00C121D0"/>
    <w:rsid w:val="00C1231E"/>
    <w:rsid w:val="00C12504"/>
    <w:rsid w:val="00C12627"/>
    <w:rsid w:val="00C12D36"/>
    <w:rsid w:val="00C12E61"/>
    <w:rsid w:val="00C13B05"/>
    <w:rsid w:val="00C13BA9"/>
    <w:rsid w:val="00C13D56"/>
    <w:rsid w:val="00C13EC0"/>
    <w:rsid w:val="00C14950"/>
    <w:rsid w:val="00C149AE"/>
    <w:rsid w:val="00C14F9D"/>
    <w:rsid w:val="00C15062"/>
    <w:rsid w:val="00C152AE"/>
    <w:rsid w:val="00C153E4"/>
    <w:rsid w:val="00C158CE"/>
    <w:rsid w:val="00C15A76"/>
    <w:rsid w:val="00C15ACE"/>
    <w:rsid w:val="00C15E9A"/>
    <w:rsid w:val="00C16062"/>
    <w:rsid w:val="00C161A9"/>
    <w:rsid w:val="00C165B7"/>
    <w:rsid w:val="00C166DB"/>
    <w:rsid w:val="00C16CD6"/>
    <w:rsid w:val="00C1719F"/>
    <w:rsid w:val="00C17DE2"/>
    <w:rsid w:val="00C2015E"/>
    <w:rsid w:val="00C202B5"/>
    <w:rsid w:val="00C20E73"/>
    <w:rsid w:val="00C2125C"/>
    <w:rsid w:val="00C2139B"/>
    <w:rsid w:val="00C21497"/>
    <w:rsid w:val="00C21796"/>
    <w:rsid w:val="00C21C48"/>
    <w:rsid w:val="00C2214F"/>
    <w:rsid w:val="00C22357"/>
    <w:rsid w:val="00C23014"/>
    <w:rsid w:val="00C230EA"/>
    <w:rsid w:val="00C23420"/>
    <w:rsid w:val="00C23B4B"/>
    <w:rsid w:val="00C23D6E"/>
    <w:rsid w:val="00C242E1"/>
    <w:rsid w:val="00C24669"/>
    <w:rsid w:val="00C24754"/>
    <w:rsid w:val="00C249F1"/>
    <w:rsid w:val="00C24F2A"/>
    <w:rsid w:val="00C251B0"/>
    <w:rsid w:val="00C2550C"/>
    <w:rsid w:val="00C258C3"/>
    <w:rsid w:val="00C25C9C"/>
    <w:rsid w:val="00C25D07"/>
    <w:rsid w:val="00C25EA2"/>
    <w:rsid w:val="00C2638C"/>
    <w:rsid w:val="00C26D7B"/>
    <w:rsid w:val="00C26DE0"/>
    <w:rsid w:val="00C26E4F"/>
    <w:rsid w:val="00C26FEC"/>
    <w:rsid w:val="00C27BF3"/>
    <w:rsid w:val="00C30736"/>
    <w:rsid w:val="00C30A4A"/>
    <w:rsid w:val="00C30EAD"/>
    <w:rsid w:val="00C3181C"/>
    <w:rsid w:val="00C31B02"/>
    <w:rsid w:val="00C31E41"/>
    <w:rsid w:val="00C31F06"/>
    <w:rsid w:val="00C323FA"/>
    <w:rsid w:val="00C32983"/>
    <w:rsid w:val="00C32A88"/>
    <w:rsid w:val="00C3372E"/>
    <w:rsid w:val="00C33854"/>
    <w:rsid w:val="00C33DA0"/>
    <w:rsid w:val="00C34402"/>
    <w:rsid w:val="00C34DB6"/>
    <w:rsid w:val="00C35363"/>
    <w:rsid w:val="00C35893"/>
    <w:rsid w:val="00C359EA"/>
    <w:rsid w:val="00C35C4A"/>
    <w:rsid w:val="00C35E32"/>
    <w:rsid w:val="00C36162"/>
    <w:rsid w:val="00C3693F"/>
    <w:rsid w:val="00C36983"/>
    <w:rsid w:val="00C36ABD"/>
    <w:rsid w:val="00C36AF4"/>
    <w:rsid w:val="00C36DD6"/>
    <w:rsid w:val="00C36EA5"/>
    <w:rsid w:val="00C36EC7"/>
    <w:rsid w:val="00C3700C"/>
    <w:rsid w:val="00C3711E"/>
    <w:rsid w:val="00C37B9D"/>
    <w:rsid w:val="00C37BD4"/>
    <w:rsid w:val="00C37C62"/>
    <w:rsid w:val="00C40AAF"/>
    <w:rsid w:val="00C40DBD"/>
    <w:rsid w:val="00C40FDB"/>
    <w:rsid w:val="00C4145C"/>
    <w:rsid w:val="00C4155B"/>
    <w:rsid w:val="00C41756"/>
    <w:rsid w:val="00C41B22"/>
    <w:rsid w:val="00C41F56"/>
    <w:rsid w:val="00C423A2"/>
    <w:rsid w:val="00C42477"/>
    <w:rsid w:val="00C4276B"/>
    <w:rsid w:val="00C427FD"/>
    <w:rsid w:val="00C42AD0"/>
    <w:rsid w:val="00C4322D"/>
    <w:rsid w:val="00C43898"/>
    <w:rsid w:val="00C43F27"/>
    <w:rsid w:val="00C44296"/>
    <w:rsid w:val="00C44BD1"/>
    <w:rsid w:val="00C45603"/>
    <w:rsid w:val="00C4568F"/>
    <w:rsid w:val="00C46023"/>
    <w:rsid w:val="00C46676"/>
    <w:rsid w:val="00C46735"/>
    <w:rsid w:val="00C46B3C"/>
    <w:rsid w:val="00C46B5F"/>
    <w:rsid w:val="00C47161"/>
    <w:rsid w:val="00C47182"/>
    <w:rsid w:val="00C471A5"/>
    <w:rsid w:val="00C4738F"/>
    <w:rsid w:val="00C47858"/>
    <w:rsid w:val="00C47CEB"/>
    <w:rsid w:val="00C47EFB"/>
    <w:rsid w:val="00C47F74"/>
    <w:rsid w:val="00C5007C"/>
    <w:rsid w:val="00C50C5C"/>
    <w:rsid w:val="00C5129F"/>
    <w:rsid w:val="00C51306"/>
    <w:rsid w:val="00C51A3B"/>
    <w:rsid w:val="00C51AF2"/>
    <w:rsid w:val="00C51CC3"/>
    <w:rsid w:val="00C521BB"/>
    <w:rsid w:val="00C52253"/>
    <w:rsid w:val="00C5263A"/>
    <w:rsid w:val="00C5272C"/>
    <w:rsid w:val="00C52A74"/>
    <w:rsid w:val="00C52BE8"/>
    <w:rsid w:val="00C52E05"/>
    <w:rsid w:val="00C5303F"/>
    <w:rsid w:val="00C531AE"/>
    <w:rsid w:val="00C53A4D"/>
    <w:rsid w:val="00C53FF2"/>
    <w:rsid w:val="00C5416E"/>
    <w:rsid w:val="00C542A6"/>
    <w:rsid w:val="00C54378"/>
    <w:rsid w:val="00C544EF"/>
    <w:rsid w:val="00C549A4"/>
    <w:rsid w:val="00C549DF"/>
    <w:rsid w:val="00C54CB2"/>
    <w:rsid w:val="00C54E60"/>
    <w:rsid w:val="00C54EF1"/>
    <w:rsid w:val="00C55149"/>
    <w:rsid w:val="00C55489"/>
    <w:rsid w:val="00C55DD1"/>
    <w:rsid w:val="00C56765"/>
    <w:rsid w:val="00C56CB6"/>
    <w:rsid w:val="00C57F5C"/>
    <w:rsid w:val="00C606BD"/>
    <w:rsid w:val="00C6074A"/>
    <w:rsid w:val="00C607FD"/>
    <w:rsid w:val="00C611BD"/>
    <w:rsid w:val="00C612E7"/>
    <w:rsid w:val="00C61B52"/>
    <w:rsid w:val="00C61E56"/>
    <w:rsid w:val="00C6215A"/>
    <w:rsid w:val="00C6248B"/>
    <w:rsid w:val="00C6291B"/>
    <w:rsid w:val="00C6391A"/>
    <w:rsid w:val="00C63B1A"/>
    <w:rsid w:val="00C63E07"/>
    <w:rsid w:val="00C64027"/>
    <w:rsid w:val="00C644BD"/>
    <w:rsid w:val="00C646F9"/>
    <w:rsid w:val="00C647BD"/>
    <w:rsid w:val="00C64BBA"/>
    <w:rsid w:val="00C651FC"/>
    <w:rsid w:val="00C67142"/>
    <w:rsid w:val="00C673C6"/>
    <w:rsid w:val="00C6742B"/>
    <w:rsid w:val="00C67B01"/>
    <w:rsid w:val="00C7041F"/>
    <w:rsid w:val="00C705F0"/>
    <w:rsid w:val="00C7078E"/>
    <w:rsid w:val="00C70BA5"/>
    <w:rsid w:val="00C70CA7"/>
    <w:rsid w:val="00C710BB"/>
    <w:rsid w:val="00C718B9"/>
    <w:rsid w:val="00C71F0E"/>
    <w:rsid w:val="00C72330"/>
    <w:rsid w:val="00C723AC"/>
    <w:rsid w:val="00C7261E"/>
    <w:rsid w:val="00C7279B"/>
    <w:rsid w:val="00C728AD"/>
    <w:rsid w:val="00C72B71"/>
    <w:rsid w:val="00C72DE3"/>
    <w:rsid w:val="00C734FE"/>
    <w:rsid w:val="00C73569"/>
    <w:rsid w:val="00C735BC"/>
    <w:rsid w:val="00C738D2"/>
    <w:rsid w:val="00C73AE7"/>
    <w:rsid w:val="00C74210"/>
    <w:rsid w:val="00C752D6"/>
    <w:rsid w:val="00C75729"/>
    <w:rsid w:val="00C75820"/>
    <w:rsid w:val="00C759BB"/>
    <w:rsid w:val="00C75A99"/>
    <w:rsid w:val="00C764DF"/>
    <w:rsid w:val="00C7657B"/>
    <w:rsid w:val="00C76B11"/>
    <w:rsid w:val="00C76CDE"/>
    <w:rsid w:val="00C76E1D"/>
    <w:rsid w:val="00C77441"/>
    <w:rsid w:val="00C77943"/>
    <w:rsid w:val="00C779CD"/>
    <w:rsid w:val="00C77ABA"/>
    <w:rsid w:val="00C77D5E"/>
    <w:rsid w:val="00C77DA4"/>
    <w:rsid w:val="00C77E42"/>
    <w:rsid w:val="00C80384"/>
    <w:rsid w:val="00C80734"/>
    <w:rsid w:val="00C8099D"/>
    <w:rsid w:val="00C80C96"/>
    <w:rsid w:val="00C81F06"/>
    <w:rsid w:val="00C81FEB"/>
    <w:rsid w:val="00C82D3D"/>
    <w:rsid w:val="00C82D55"/>
    <w:rsid w:val="00C82E29"/>
    <w:rsid w:val="00C82F2C"/>
    <w:rsid w:val="00C83593"/>
    <w:rsid w:val="00C835B3"/>
    <w:rsid w:val="00C8361A"/>
    <w:rsid w:val="00C83801"/>
    <w:rsid w:val="00C83A92"/>
    <w:rsid w:val="00C83F56"/>
    <w:rsid w:val="00C84063"/>
    <w:rsid w:val="00C847D1"/>
    <w:rsid w:val="00C84852"/>
    <w:rsid w:val="00C84A5E"/>
    <w:rsid w:val="00C84A72"/>
    <w:rsid w:val="00C84B1E"/>
    <w:rsid w:val="00C84B24"/>
    <w:rsid w:val="00C84C8F"/>
    <w:rsid w:val="00C84C97"/>
    <w:rsid w:val="00C8581D"/>
    <w:rsid w:val="00C85B54"/>
    <w:rsid w:val="00C85BA1"/>
    <w:rsid w:val="00C86346"/>
    <w:rsid w:val="00C864A3"/>
    <w:rsid w:val="00C86AE1"/>
    <w:rsid w:val="00C87177"/>
    <w:rsid w:val="00C87AE5"/>
    <w:rsid w:val="00C87E4B"/>
    <w:rsid w:val="00C90709"/>
    <w:rsid w:val="00C9074A"/>
    <w:rsid w:val="00C90C09"/>
    <w:rsid w:val="00C91173"/>
    <w:rsid w:val="00C91474"/>
    <w:rsid w:val="00C914BA"/>
    <w:rsid w:val="00C9188C"/>
    <w:rsid w:val="00C91A2F"/>
    <w:rsid w:val="00C92400"/>
    <w:rsid w:val="00C9274C"/>
    <w:rsid w:val="00C92E84"/>
    <w:rsid w:val="00C930C8"/>
    <w:rsid w:val="00C93843"/>
    <w:rsid w:val="00C93947"/>
    <w:rsid w:val="00C93F2A"/>
    <w:rsid w:val="00C95281"/>
    <w:rsid w:val="00C9580A"/>
    <w:rsid w:val="00C95A24"/>
    <w:rsid w:val="00C95A36"/>
    <w:rsid w:val="00C96308"/>
    <w:rsid w:val="00C963D7"/>
    <w:rsid w:val="00C967CD"/>
    <w:rsid w:val="00C96A9C"/>
    <w:rsid w:val="00C96E7A"/>
    <w:rsid w:val="00C96E7D"/>
    <w:rsid w:val="00C96FBB"/>
    <w:rsid w:val="00C9725B"/>
    <w:rsid w:val="00C9767B"/>
    <w:rsid w:val="00C97930"/>
    <w:rsid w:val="00C97A85"/>
    <w:rsid w:val="00CA0085"/>
    <w:rsid w:val="00CA0215"/>
    <w:rsid w:val="00CA058B"/>
    <w:rsid w:val="00CA0C5A"/>
    <w:rsid w:val="00CA0EF5"/>
    <w:rsid w:val="00CA10C3"/>
    <w:rsid w:val="00CA1824"/>
    <w:rsid w:val="00CA183A"/>
    <w:rsid w:val="00CA1943"/>
    <w:rsid w:val="00CA1DCA"/>
    <w:rsid w:val="00CA209D"/>
    <w:rsid w:val="00CA23BA"/>
    <w:rsid w:val="00CA2560"/>
    <w:rsid w:val="00CA27A1"/>
    <w:rsid w:val="00CA2834"/>
    <w:rsid w:val="00CA2BA8"/>
    <w:rsid w:val="00CA3199"/>
    <w:rsid w:val="00CA31DB"/>
    <w:rsid w:val="00CA360E"/>
    <w:rsid w:val="00CA4A23"/>
    <w:rsid w:val="00CA5097"/>
    <w:rsid w:val="00CA5EA8"/>
    <w:rsid w:val="00CA609F"/>
    <w:rsid w:val="00CA625C"/>
    <w:rsid w:val="00CA64DD"/>
    <w:rsid w:val="00CA6792"/>
    <w:rsid w:val="00CA699F"/>
    <w:rsid w:val="00CA6B69"/>
    <w:rsid w:val="00CA6BB5"/>
    <w:rsid w:val="00CA725C"/>
    <w:rsid w:val="00CA739E"/>
    <w:rsid w:val="00CA7738"/>
    <w:rsid w:val="00CA7BF0"/>
    <w:rsid w:val="00CB0006"/>
    <w:rsid w:val="00CB0596"/>
    <w:rsid w:val="00CB0739"/>
    <w:rsid w:val="00CB0802"/>
    <w:rsid w:val="00CB0C55"/>
    <w:rsid w:val="00CB0CCD"/>
    <w:rsid w:val="00CB0CFC"/>
    <w:rsid w:val="00CB0D57"/>
    <w:rsid w:val="00CB0FAD"/>
    <w:rsid w:val="00CB10B0"/>
    <w:rsid w:val="00CB1142"/>
    <w:rsid w:val="00CB1BD5"/>
    <w:rsid w:val="00CB1BD8"/>
    <w:rsid w:val="00CB1D82"/>
    <w:rsid w:val="00CB1EAE"/>
    <w:rsid w:val="00CB2037"/>
    <w:rsid w:val="00CB216A"/>
    <w:rsid w:val="00CB21BE"/>
    <w:rsid w:val="00CB2694"/>
    <w:rsid w:val="00CB2F67"/>
    <w:rsid w:val="00CB3CBB"/>
    <w:rsid w:val="00CB4185"/>
    <w:rsid w:val="00CB44EB"/>
    <w:rsid w:val="00CB44F5"/>
    <w:rsid w:val="00CB4B5D"/>
    <w:rsid w:val="00CB4CD3"/>
    <w:rsid w:val="00CB5293"/>
    <w:rsid w:val="00CB531D"/>
    <w:rsid w:val="00CB5EFA"/>
    <w:rsid w:val="00CB63A1"/>
    <w:rsid w:val="00CB72BC"/>
    <w:rsid w:val="00CB73AF"/>
    <w:rsid w:val="00CB7E4F"/>
    <w:rsid w:val="00CC03B4"/>
    <w:rsid w:val="00CC0D3E"/>
    <w:rsid w:val="00CC12B2"/>
    <w:rsid w:val="00CC138B"/>
    <w:rsid w:val="00CC20EA"/>
    <w:rsid w:val="00CC228B"/>
    <w:rsid w:val="00CC295F"/>
    <w:rsid w:val="00CC32E1"/>
    <w:rsid w:val="00CC32FB"/>
    <w:rsid w:val="00CC39B0"/>
    <w:rsid w:val="00CC3E0A"/>
    <w:rsid w:val="00CC4088"/>
    <w:rsid w:val="00CC4700"/>
    <w:rsid w:val="00CC4873"/>
    <w:rsid w:val="00CC5B62"/>
    <w:rsid w:val="00CC5F3D"/>
    <w:rsid w:val="00CC61C2"/>
    <w:rsid w:val="00CC6898"/>
    <w:rsid w:val="00CC7127"/>
    <w:rsid w:val="00CD021C"/>
    <w:rsid w:val="00CD12A4"/>
    <w:rsid w:val="00CD1321"/>
    <w:rsid w:val="00CD1BC5"/>
    <w:rsid w:val="00CD1CE9"/>
    <w:rsid w:val="00CD1E88"/>
    <w:rsid w:val="00CD1F16"/>
    <w:rsid w:val="00CD2133"/>
    <w:rsid w:val="00CD2394"/>
    <w:rsid w:val="00CD29BD"/>
    <w:rsid w:val="00CD2C29"/>
    <w:rsid w:val="00CD324D"/>
    <w:rsid w:val="00CD390E"/>
    <w:rsid w:val="00CD3D57"/>
    <w:rsid w:val="00CD4398"/>
    <w:rsid w:val="00CD4485"/>
    <w:rsid w:val="00CD46EB"/>
    <w:rsid w:val="00CD4922"/>
    <w:rsid w:val="00CD4A3C"/>
    <w:rsid w:val="00CD4B99"/>
    <w:rsid w:val="00CD4BDB"/>
    <w:rsid w:val="00CD4DF9"/>
    <w:rsid w:val="00CD5293"/>
    <w:rsid w:val="00CD5741"/>
    <w:rsid w:val="00CD5EF8"/>
    <w:rsid w:val="00CD6079"/>
    <w:rsid w:val="00CD6546"/>
    <w:rsid w:val="00CD6610"/>
    <w:rsid w:val="00CD6809"/>
    <w:rsid w:val="00CD7D1E"/>
    <w:rsid w:val="00CE0378"/>
    <w:rsid w:val="00CE04B7"/>
    <w:rsid w:val="00CE078C"/>
    <w:rsid w:val="00CE0FEB"/>
    <w:rsid w:val="00CE1318"/>
    <w:rsid w:val="00CE13CB"/>
    <w:rsid w:val="00CE23BC"/>
    <w:rsid w:val="00CE2A11"/>
    <w:rsid w:val="00CE2AA6"/>
    <w:rsid w:val="00CE3319"/>
    <w:rsid w:val="00CE3D14"/>
    <w:rsid w:val="00CE3ECB"/>
    <w:rsid w:val="00CE5747"/>
    <w:rsid w:val="00CE5961"/>
    <w:rsid w:val="00CE5BBB"/>
    <w:rsid w:val="00CE5C65"/>
    <w:rsid w:val="00CE5DD0"/>
    <w:rsid w:val="00CE62FD"/>
    <w:rsid w:val="00CE64F4"/>
    <w:rsid w:val="00CE66B4"/>
    <w:rsid w:val="00CE6756"/>
    <w:rsid w:val="00CE6A21"/>
    <w:rsid w:val="00CE72C2"/>
    <w:rsid w:val="00CE72D9"/>
    <w:rsid w:val="00CE7617"/>
    <w:rsid w:val="00CE7658"/>
    <w:rsid w:val="00CE773F"/>
    <w:rsid w:val="00CE7CBB"/>
    <w:rsid w:val="00CE7D4E"/>
    <w:rsid w:val="00CE7E24"/>
    <w:rsid w:val="00CF023C"/>
    <w:rsid w:val="00CF0948"/>
    <w:rsid w:val="00CF10D8"/>
    <w:rsid w:val="00CF1835"/>
    <w:rsid w:val="00CF1BA0"/>
    <w:rsid w:val="00CF21B5"/>
    <w:rsid w:val="00CF249F"/>
    <w:rsid w:val="00CF27ED"/>
    <w:rsid w:val="00CF2CA0"/>
    <w:rsid w:val="00CF2D73"/>
    <w:rsid w:val="00CF3824"/>
    <w:rsid w:val="00CF403B"/>
    <w:rsid w:val="00CF4212"/>
    <w:rsid w:val="00CF448F"/>
    <w:rsid w:val="00CF4FDF"/>
    <w:rsid w:val="00CF68C8"/>
    <w:rsid w:val="00CF6A22"/>
    <w:rsid w:val="00CF6A84"/>
    <w:rsid w:val="00CF6C17"/>
    <w:rsid w:val="00CF715D"/>
    <w:rsid w:val="00CF7CCE"/>
    <w:rsid w:val="00D0009C"/>
    <w:rsid w:val="00D0125C"/>
    <w:rsid w:val="00D0135C"/>
    <w:rsid w:val="00D01550"/>
    <w:rsid w:val="00D015DD"/>
    <w:rsid w:val="00D015EE"/>
    <w:rsid w:val="00D017AF"/>
    <w:rsid w:val="00D02040"/>
    <w:rsid w:val="00D020A4"/>
    <w:rsid w:val="00D02810"/>
    <w:rsid w:val="00D02DBA"/>
    <w:rsid w:val="00D02E85"/>
    <w:rsid w:val="00D02EB4"/>
    <w:rsid w:val="00D038E1"/>
    <w:rsid w:val="00D045CE"/>
    <w:rsid w:val="00D04AC5"/>
    <w:rsid w:val="00D04B5B"/>
    <w:rsid w:val="00D0524D"/>
    <w:rsid w:val="00D05E53"/>
    <w:rsid w:val="00D061C3"/>
    <w:rsid w:val="00D076AB"/>
    <w:rsid w:val="00D07975"/>
    <w:rsid w:val="00D07A0A"/>
    <w:rsid w:val="00D07AE8"/>
    <w:rsid w:val="00D1062B"/>
    <w:rsid w:val="00D10E95"/>
    <w:rsid w:val="00D11040"/>
    <w:rsid w:val="00D11329"/>
    <w:rsid w:val="00D11515"/>
    <w:rsid w:val="00D11558"/>
    <w:rsid w:val="00D117FA"/>
    <w:rsid w:val="00D11DE9"/>
    <w:rsid w:val="00D12048"/>
    <w:rsid w:val="00D122DD"/>
    <w:rsid w:val="00D12B90"/>
    <w:rsid w:val="00D134AB"/>
    <w:rsid w:val="00D13510"/>
    <w:rsid w:val="00D139E9"/>
    <w:rsid w:val="00D13AC9"/>
    <w:rsid w:val="00D13D54"/>
    <w:rsid w:val="00D1435B"/>
    <w:rsid w:val="00D14770"/>
    <w:rsid w:val="00D14F01"/>
    <w:rsid w:val="00D150C9"/>
    <w:rsid w:val="00D152E1"/>
    <w:rsid w:val="00D1546F"/>
    <w:rsid w:val="00D1565C"/>
    <w:rsid w:val="00D15CE2"/>
    <w:rsid w:val="00D15D73"/>
    <w:rsid w:val="00D15DE2"/>
    <w:rsid w:val="00D16108"/>
    <w:rsid w:val="00D1673E"/>
    <w:rsid w:val="00D168B4"/>
    <w:rsid w:val="00D16A48"/>
    <w:rsid w:val="00D17525"/>
    <w:rsid w:val="00D179AB"/>
    <w:rsid w:val="00D17D41"/>
    <w:rsid w:val="00D17E20"/>
    <w:rsid w:val="00D206E6"/>
    <w:rsid w:val="00D20805"/>
    <w:rsid w:val="00D20E16"/>
    <w:rsid w:val="00D20E6C"/>
    <w:rsid w:val="00D21562"/>
    <w:rsid w:val="00D2165B"/>
    <w:rsid w:val="00D218B7"/>
    <w:rsid w:val="00D21B7A"/>
    <w:rsid w:val="00D21BED"/>
    <w:rsid w:val="00D22D00"/>
    <w:rsid w:val="00D23344"/>
    <w:rsid w:val="00D2355E"/>
    <w:rsid w:val="00D23AFA"/>
    <w:rsid w:val="00D23EE4"/>
    <w:rsid w:val="00D24DFA"/>
    <w:rsid w:val="00D25A9F"/>
    <w:rsid w:val="00D2605B"/>
    <w:rsid w:val="00D260B0"/>
    <w:rsid w:val="00D26140"/>
    <w:rsid w:val="00D26454"/>
    <w:rsid w:val="00D272D7"/>
    <w:rsid w:val="00D273F9"/>
    <w:rsid w:val="00D27A12"/>
    <w:rsid w:val="00D30808"/>
    <w:rsid w:val="00D308B6"/>
    <w:rsid w:val="00D30A83"/>
    <w:rsid w:val="00D30F2B"/>
    <w:rsid w:val="00D31027"/>
    <w:rsid w:val="00D31041"/>
    <w:rsid w:val="00D31F69"/>
    <w:rsid w:val="00D32447"/>
    <w:rsid w:val="00D32451"/>
    <w:rsid w:val="00D32A2B"/>
    <w:rsid w:val="00D32BA8"/>
    <w:rsid w:val="00D33629"/>
    <w:rsid w:val="00D33B1D"/>
    <w:rsid w:val="00D34360"/>
    <w:rsid w:val="00D3457D"/>
    <w:rsid w:val="00D345C4"/>
    <w:rsid w:val="00D34B1B"/>
    <w:rsid w:val="00D34F7D"/>
    <w:rsid w:val="00D358FF"/>
    <w:rsid w:val="00D35AF5"/>
    <w:rsid w:val="00D35B7F"/>
    <w:rsid w:val="00D35ED7"/>
    <w:rsid w:val="00D36507"/>
    <w:rsid w:val="00D36BF9"/>
    <w:rsid w:val="00D36C38"/>
    <w:rsid w:val="00D36C54"/>
    <w:rsid w:val="00D372EC"/>
    <w:rsid w:val="00D37354"/>
    <w:rsid w:val="00D3741A"/>
    <w:rsid w:val="00D3747E"/>
    <w:rsid w:val="00D37FAF"/>
    <w:rsid w:val="00D4010B"/>
    <w:rsid w:val="00D40C0F"/>
    <w:rsid w:val="00D40D28"/>
    <w:rsid w:val="00D40DB8"/>
    <w:rsid w:val="00D40DE4"/>
    <w:rsid w:val="00D40FDE"/>
    <w:rsid w:val="00D413D4"/>
    <w:rsid w:val="00D41474"/>
    <w:rsid w:val="00D4159A"/>
    <w:rsid w:val="00D416B3"/>
    <w:rsid w:val="00D4195F"/>
    <w:rsid w:val="00D421CC"/>
    <w:rsid w:val="00D4225C"/>
    <w:rsid w:val="00D4275C"/>
    <w:rsid w:val="00D42863"/>
    <w:rsid w:val="00D428F3"/>
    <w:rsid w:val="00D43009"/>
    <w:rsid w:val="00D4369D"/>
    <w:rsid w:val="00D4374B"/>
    <w:rsid w:val="00D43A2D"/>
    <w:rsid w:val="00D43E71"/>
    <w:rsid w:val="00D43F15"/>
    <w:rsid w:val="00D44120"/>
    <w:rsid w:val="00D441FB"/>
    <w:rsid w:val="00D44496"/>
    <w:rsid w:val="00D447E1"/>
    <w:rsid w:val="00D448AC"/>
    <w:rsid w:val="00D44996"/>
    <w:rsid w:val="00D44C64"/>
    <w:rsid w:val="00D44FCB"/>
    <w:rsid w:val="00D453E4"/>
    <w:rsid w:val="00D4577E"/>
    <w:rsid w:val="00D45D10"/>
    <w:rsid w:val="00D45ECA"/>
    <w:rsid w:val="00D46138"/>
    <w:rsid w:val="00D463B6"/>
    <w:rsid w:val="00D468AA"/>
    <w:rsid w:val="00D46AAB"/>
    <w:rsid w:val="00D46F40"/>
    <w:rsid w:val="00D4726C"/>
    <w:rsid w:val="00D47D3B"/>
    <w:rsid w:val="00D50010"/>
    <w:rsid w:val="00D501C8"/>
    <w:rsid w:val="00D50308"/>
    <w:rsid w:val="00D50312"/>
    <w:rsid w:val="00D506D1"/>
    <w:rsid w:val="00D50F27"/>
    <w:rsid w:val="00D51FFC"/>
    <w:rsid w:val="00D521CC"/>
    <w:rsid w:val="00D52A9A"/>
    <w:rsid w:val="00D53206"/>
    <w:rsid w:val="00D532F8"/>
    <w:rsid w:val="00D53363"/>
    <w:rsid w:val="00D53A9C"/>
    <w:rsid w:val="00D53AEB"/>
    <w:rsid w:val="00D54340"/>
    <w:rsid w:val="00D543BE"/>
    <w:rsid w:val="00D54950"/>
    <w:rsid w:val="00D55223"/>
    <w:rsid w:val="00D552AC"/>
    <w:rsid w:val="00D55384"/>
    <w:rsid w:val="00D55BA6"/>
    <w:rsid w:val="00D55D7F"/>
    <w:rsid w:val="00D55E12"/>
    <w:rsid w:val="00D5609A"/>
    <w:rsid w:val="00D56511"/>
    <w:rsid w:val="00D5657D"/>
    <w:rsid w:val="00D56A91"/>
    <w:rsid w:val="00D56C07"/>
    <w:rsid w:val="00D572E2"/>
    <w:rsid w:val="00D573DB"/>
    <w:rsid w:val="00D5798F"/>
    <w:rsid w:val="00D602CC"/>
    <w:rsid w:val="00D602E5"/>
    <w:rsid w:val="00D6035E"/>
    <w:rsid w:val="00D606F4"/>
    <w:rsid w:val="00D60B0B"/>
    <w:rsid w:val="00D610E1"/>
    <w:rsid w:val="00D61B91"/>
    <w:rsid w:val="00D61FC3"/>
    <w:rsid w:val="00D6220B"/>
    <w:rsid w:val="00D6301E"/>
    <w:rsid w:val="00D632DC"/>
    <w:rsid w:val="00D6394A"/>
    <w:rsid w:val="00D64002"/>
    <w:rsid w:val="00D640E4"/>
    <w:rsid w:val="00D641BF"/>
    <w:rsid w:val="00D6461A"/>
    <w:rsid w:val="00D647BD"/>
    <w:rsid w:val="00D64EA4"/>
    <w:rsid w:val="00D658B1"/>
    <w:rsid w:val="00D66749"/>
    <w:rsid w:val="00D669A1"/>
    <w:rsid w:val="00D6730B"/>
    <w:rsid w:val="00D67374"/>
    <w:rsid w:val="00D67742"/>
    <w:rsid w:val="00D67899"/>
    <w:rsid w:val="00D6796A"/>
    <w:rsid w:val="00D67B0B"/>
    <w:rsid w:val="00D67E26"/>
    <w:rsid w:val="00D67EDF"/>
    <w:rsid w:val="00D7070E"/>
    <w:rsid w:val="00D70983"/>
    <w:rsid w:val="00D70CCD"/>
    <w:rsid w:val="00D70D36"/>
    <w:rsid w:val="00D71C9F"/>
    <w:rsid w:val="00D72307"/>
    <w:rsid w:val="00D7275B"/>
    <w:rsid w:val="00D72B7B"/>
    <w:rsid w:val="00D73BAA"/>
    <w:rsid w:val="00D7437C"/>
    <w:rsid w:val="00D74A26"/>
    <w:rsid w:val="00D74A57"/>
    <w:rsid w:val="00D751FF"/>
    <w:rsid w:val="00D7615D"/>
    <w:rsid w:val="00D76473"/>
    <w:rsid w:val="00D76D1C"/>
    <w:rsid w:val="00D76F17"/>
    <w:rsid w:val="00D77003"/>
    <w:rsid w:val="00D77316"/>
    <w:rsid w:val="00D77AF2"/>
    <w:rsid w:val="00D802CD"/>
    <w:rsid w:val="00D80588"/>
    <w:rsid w:val="00D80E37"/>
    <w:rsid w:val="00D812C9"/>
    <w:rsid w:val="00D81414"/>
    <w:rsid w:val="00D81453"/>
    <w:rsid w:val="00D81B08"/>
    <w:rsid w:val="00D82167"/>
    <w:rsid w:val="00D82250"/>
    <w:rsid w:val="00D82B11"/>
    <w:rsid w:val="00D83157"/>
    <w:rsid w:val="00D8352C"/>
    <w:rsid w:val="00D83683"/>
    <w:rsid w:val="00D83855"/>
    <w:rsid w:val="00D83922"/>
    <w:rsid w:val="00D83B5D"/>
    <w:rsid w:val="00D84947"/>
    <w:rsid w:val="00D84A65"/>
    <w:rsid w:val="00D855D0"/>
    <w:rsid w:val="00D86114"/>
    <w:rsid w:val="00D8638E"/>
    <w:rsid w:val="00D86BF5"/>
    <w:rsid w:val="00D87209"/>
    <w:rsid w:val="00D87C68"/>
    <w:rsid w:val="00D87D58"/>
    <w:rsid w:val="00D9043B"/>
    <w:rsid w:val="00D90C42"/>
    <w:rsid w:val="00D915B2"/>
    <w:rsid w:val="00D91780"/>
    <w:rsid w:val="00D91D2B"/>
    <w:rsid w:val="00D91EC7"/>
    <w:rsid w:val="00D92227"/>
    <w:rsid w:val="00D922DA"/>
    <w:rsid w:val="00D92870"/>
    <w:rsid w:val="00D93421"/>
    <w:rsid w:val="00D9354C"/>
    <w:rsid w:val="00D938C9"/>
    <w:rsid w:val="00D94866"/>
    <w:rsid w:val="00D94B33"/>
    <w:rsid w:val="00D94B58"/>
    <w:rsid w:val="00D94BAE"/>
    <w:rsid w:val="00D952FE"/>
    <w:rsid w:val="00D9534E"/>
    <w:rsid w:val="00D965E2"/>
    <w:rsid w:val="00D96CD3"/>
    <w:rsid w:val="00D97673"/>
    <w:rsid w:val="00D9779D"/>
    <w:rsid w:val="00D97D20"/>
    <w:rsid w:val="00D97FDF"/>
    <w:rsid w:val="00DA00B5"/>
    <w:rsid w:val="00DA03C1"/>
    <w:rsid w:val="00DA055C"/>
    <w:rsid w:val="00DA0DA2"/>
    <w:rsid w:val="00DA13C2"/>
    <w:rsid w:val="00DA1414"/>
    <w:rsid w:val="00DA16DD"/>
    <w:rsid w:val="00DA18C3"/>
    <w:rsid w:val="00DA1B85"/>
    <w:rsid w:val="00DA1C4D"/>
    <w:rsid w:val="00DA1CBD"/>
    <w:rsid w:val="00DA1E46"/>
    <w:rsid w:val="00DA2E81"/>
    <w:rsid w:val="00DA2E89"/>
    <w:rsid w:val="00DA3833"/>
    <w:rsid w:val="00DA43AA"/>
    <w:rsid w:val="00DA46DF"/>
    <w:rsid w:val="00DA4B58"/>
    <w:rsid w:val="00DA4F23"/>
    <w:rsid w:val="00DA57B2"/>
    <w:rsid w:val="00DA5D4E"/>
    <w:rsid w:val="00DA5FF1"/>
    <w:rsid w:val="00DA62B8"/>
    <w:rsid w:val="00DA6A2A"/>
    <w:rsid w:val="00DA7980"/>
    <w:rsid w:val="00DA7B16"/>
    <w:rsid w:val="00DA7C53"/>
    <w:rsid w:val="00DB077B"/>
    <w:rsid w:val="00DB0978"/>
    <w:rsid w:val="00DB0995"/>
    <w:rsid w:val="00DB18FA"/>
    <w:rsid w:val="00DB1EC9"/>
    <w:rsid w:val="00DB21B3"/>
    <w:rsid w:val="00DB29F9"/>
    <w:rsid w:val="00DB2CD1"/>
    <w:rsid w:val="00DB2DAE"/>
    <w:rsid w:val="00DB2E99"/>
    <w:rsid w:val="00DB38FA"/>
    <w:rsid w:val="00DB3A3E"/>
    <w:rsid w:val="00DB4A97"/>
    <w:rsid w:val="00DB4EB3"/>
    <w:rsid w:val="00DB520F"/>
    <w:rsid w:val="00DB53E9"/>
    <w:rsid w:val="00DB5ABB"/>
    <w:rsid w:val="00DB5B8C"/>
    <w:rsid w:val="00DB5D51"/>
    <w:rsid w:val="00DB604A"/>
    <w:rsid w:val="00DB6114"/>
    <w:rsid w:val="00DB739C"/>
    <w:rsid w:val="00DB743A"/>
    <w:rsid w:val="00DB752E"/>
    <w:rsid w:val="00DB7749"/>
    <w:rsid w:val="00DB7D22"/>
    <w:rsid w:val="00DB7F61"/>
    <w:rsid w:val="00DC023A"/>
    <w:rsid w:val="00DC02F7"/>
    <w:rsid w:val="00DC0400"/>
    <w:rsid w:val="00DC05C1"/>
    <w:rsid w:val="00DC098D"/>
    <w:rsid w:val="00DC0AD7"/>
    <w:rsid w:val="00DC0AF7"/>
    <w:rsid w:val="00DC0C85"/>
    <w:rsid w:val="00DC1280"/>
    <w:rsid w:val="00DC12EC"/>
    <w:rsid w:val="00DC16A7"/>
    <w:rsid w:val="00DC1807"/>
    <w:rsid w:val="00DC1BE4"/>
    <w:rsid w:val="00DC2173"/>
    <w:rsid w:val="00DC2E46"/>
    <w:rsid w:val="00DC2FC9"/>
    <w:rsid w:val="00DC3097"/>
    <w:rsid w:val="00DC31A6"/>
    <w:rsid w:val="00DC3A48"/>
    <w:rsid w:val="00DC3BA0"/>
    <w:rsid w:val="00DC3E5B"/>
    <w:rsid w:val="00DC473A"/>
    <w:rsid w:val="00DC487D"/>
    <w:rsid w:val="00DC543B"/>
    <w:rsid w:val="00DC6170"/>
    <w:rsid w:val="00DC65FA"/>
    <w:rsid w:val="00DC6A43"/>
    <w:rsid w:val="00DC6E35"/>
    <w:rsid w:val="00DC73D0"/>
    <w:rsid w:val="00DC73FD"/>
    <w:rsid w:val="00DC772A"/>
    <w:rsid w:val="00DC7D9D"/>
    <w:rsid w:val="00DC7EE1"/>
    <w:rsid w:val="00DD06EA"/>
    <w:rsid w:val="00DD0F56"/>
    <w:rsid w:val="00DD1C24"/>
    <w:rsid w:val="00DD2826"/>
    <w:rsid w:val="00DD358F"/>
    <w:rsid w:val="00DD3648"/>
    <w:rsid w:val="00DD472A"/>
    <w:rsid w:val="00DD4831"/>
    <w:rsid w:val="00DD4959"/>
    <w:rsid w:val="00DD4DDE"/>
    <w:rsid w:val="00DD4E95"/>
    <w:rsid w:val="00DD5425"/>
    <w:rsid w:val="00DD5C93"/>
    <w:rsid w:val="00DD5F60"/>
    <w:rsid w:val="00DD606D"/>
    <w:rsid w:val="00DD664C"/>
    <w:rsid w:val="00DD6917"/>
    <w:rsid w:val="00DD6A07"/>
    <w:rsid w:val="00DD715A"/>
    <w:rsid w:val="00DD71F7"/>
    <w:rsid w:val="00DD7219"/>
    <w:rsid w:val="00DD732D"/>
    <w:rsid w:val="00DD7BBC"/>
    <w:rsid w:val="00DD7C45"/>
    <w:rsid w:val="00DD7F4F"/>
    <w:rsid w:val="00DE026A"/>
    <w:rsid w:val="00DE028D"/>
    <w:rsid w:val="00DE08BC"/>
    <w:rsid w:val="00DE0C76"/>
    <w:rsid w:val="00DE0D93"/>
    <w:rsid w:val="00DE1239"/>
    <w:rsid w:val="00DE1C81"/>
    <w:rsid w:val="00DE216D"/>
    <w:rsid w:val="00DE2332"/>
    <w:rsid w:val="00DE355F"/>
    <w:rsid w:val="00DE368A"/>
    <w:rsid w:val="00DE378F"/>
    <w:rsid w:val="00DE399D"/>
    <w:rsid w:val="00DE3A5F"/>
    <w:rsid w:val="00DE3AC1"/>
    <w:rsid w:val="00DE4082"/>
    <w:rsid w:val="00DE41FF"/>
    <w:rsid w:val="00DE4560"/>
    <w:rsid w:val="00DE49A4"/>
    <w:rsid w:val="00DE4C50"/>
    <w:rsid w:val="00DE503F"/>
    <w:rsid w:val="00DE51CC"/>
    <w:rsid w:val="00DE5466"/>
    <w:rsid w:val="00DE5525"/>
    <w:rsid w:val="00DE5A11"/>
    <w:rsid w:val="00DE5DDD"/>
    <w:rsid w:val="00DE66BE"/>
    <w:rsid w:val="00DE69A6"/>
    <w:rsid w:val="00DE7029"/>
    <w:rsid w:val="00DE704C"/>
    <w:rsid w:val="00DE761A"/>
    <w:rsid w:val="00DE77A3"/>
    <w:rsid w:val="00DE7948"/>
    <w:rsid w:val="00DE7FD0"/>
    <w:rsid w:val="00DF029E"/>
    <w:rsid w:val="00DF0496"/>
    <w:rsid w:val="00DF0B2A"/>
    <w:rsid w:val="00DF0DED"/>
    <w:rsid w:val="00DF11B5"/>
    <w:rsid w:val="00DF1BCC"/>
    <w:rsid w:val="00DF1C8A"/>
    <w:rsid w:val="00DF20D4"/>
    <w:rsid w:val="00DF2D3A"/>
    <w:rsid w:val="00DF3132"/>
    <w:rsid w:val="00DF31A3"/>
    <w:rsid w:val="00DF4487"/>
    <w:rsid w:val="00DF4B29"/>
    <w:rsid w:val="00DF4C94"/>
    <w:rsid w:val="00DF61BF"/>
    <w:rsid w:val="00DF6341"/>
    <w:rsid w:val="00DF65C8"/>
    <w:rsid w:val="00DF65E2"/>
    <w:rsid w:val="00DF69F8"/>
    <w:rsid w:val="00DF6CA2"/>
    <w:rsid w:val="00DF6D54"/>
    <w:rsid w:val="00DF70AA"/>
    <w:rsid w:val="00DF71FE"/>
    <w:rsid w:val="00DF7AB2"/>
    <w:rsid w:val="00DF7D45"/>
    <w:rsid w:val="00E007E5"/>
    <w:rsid w:val="00E01538"/>
    <w:rsid w:val="00E01585"/>
    <w:rsid w:val="00E015AF"/>
    <w:rsid w:val="00E026D3"/>
    <w:rsid w:val="00E02896"/>
    <w:rsid w:val="00E029BA"/>
    <w:rsid w:val="00E02B05"/>
    <w:rsid w:val="00E032EE"/>
    <w:rsid w:val="00E03AC5"/>
    <w:rsid w:val="00E03B83"/>
    <w:rsid w:val="00E03FC0"/>
    <w:rsid w:val="00E045D9"/>
    <w:rsid w:val="00E052EA"/>
    <w:rsid w:val="00E056B2"/>
    <w:rsid w:val="00E05714"/>
    <w:rsid w:val="00E05779"/>
    <w:rsid w:val="00E058CD"/>
    <w:rsid w:val="00E0596F"/>
    <w:rsid w:val="00E05BFA"/>
    <w:rsid w:val="00E062CD"/>
    <w:rsid w:val="00E0643C"/>
    <w:rsid w:val="00E06A7B"/>
    <w:rsid w:val="00E06B49"/>
    <w:rsid w:val="00E076A5"/>
    <w:rsid w:val="00E07721"/>
    <w:rsid w:val="00E078E8"/>
    <w:rsid w:val="00E100CA"/>
    <w:rsid w:val="00E102E8"/>
    <w:rsid w:val="00E105CA"/>
    <w:rsid w:val="00E10625"/>
    <w:rsid w:val="00E10CAB"/>
    <w:rsid w:val="00E114E5"/>
    <w:rsid w:val="00E11EE3"/>
    <w:rsid w:val="00E11EE7"/>
    <w:rsid w:val="00E128F7"/>
    <w:rsid w:val="00E1338C"/>
    <w:rsid w:val="00E1372B"/>
    <w:rsid w:val="00E13996"/>
    <w:rsid w:val="00E13EFD"/>
    <w:rsid w:val="00E140FF"/>
    <w:rsid w:val="00E1433A"/>
    <w:rsid w:val="00E14C16"/>
    <w:rsid w:val="00E15424"/>
    <w:rsid w:val="00E158FE"/>
    <w:rsid w:val="00E161E9"/>
    <w:rsid w:val="00E16A34"/>
    <w:rsid w:val="00E17661"/>
    <w:rsid w:val="00E17698"/>
    <w:rsid w:val="00E17902"/>
    <w:rsid w:val="00E201F6"/>
    <w:rsid w:val="00E204F7"/>
    <w:rsid w:val="00E207E3"/>
    <w:rsid w:val="00E208B2"/>
    <w:rsid w:val="00E20DBC"/>
    <w:rsid w:val="00E21360"/>
    <w:rsid w:val="00E2167D"/>
    <w:rsid w:val="00E219E7"/>
    <w:rsid w:val="00E21DF2"/>
    <w:rsid w:val="00E21FDB"/>
    <w:rsid w:val="00E22341"/>
    <w:rsid w:val="00E223D9"/>
    <w:rsid w:val="00E228D9"/>
    <w:rsid w:val="00E2294B"/>
    <w:rsid w:val="00E23395"/>
    <w:rsid w:val="00E239A6"/>
    <w:rsid w:val="00E23B51"/>
    <w:rsid w:val="00E24702"/>
    <w:rsid w:val="00E24802"/>
    <w:rsid w:val="00E24C3C"/>
    <w:rsid w:val="00E2507A"/>
    <w:rsid w:val="00E25202"/>
    <w:rsid w:val="00E25BFE"/>
    <w:rsid w:val="00E25D4A"/>
    <w:rsid w:val="00E2660F"/>
    <w:rsid w:val="00E268B8"/>
    <w:rsid w:val="00E270A1"/>
    <w:rsid w:val="00E2721B"/>
    <w:rsid w:val="00E2728A"/>
    <w:rsid w:val="00E273CA"/>
    <w:rsid w:val="00E27590"/>
    <w:rsid w:val="00E27A50"/>
    <w:rsid w:val="00E27DDA"/>
    <w:rsid w:val="00E27FBF"/>
    <w:rsid w:val="00E3086E"/>
    <w:rsid w:val="00E30BF7"/>
    <w:rsid w:val="00E30C04"/>
    <w:rsid w:val="00E30EFB"/>
    <w:rsid w:val="00E31932"/>
    <w:rsid w:val="00E31EF1"/>
    <w:rsid w:val="00E33011"/>
    <w:rsid w:val="00E334FF"/>
    <w:rsid w:val="00E336E5"/>
    <w:rsid w:val="00E3375A"/>
    <w:rsid w:val="00E33DCE"/>
    <w:rsid w:val="00E3403A"/>
    <w:rsid w:val="00E349BA"/>
    <w:rsid w:val="00E3519C"/>
    <w:rsid w:val="00E35858"/>
    <w:rsid w:val="00E35C01"/>
    <w:rsid w:val="00E35EE1"/>
    <w:rsid w:val="00E362F0"/>
    <w:rsid w:val="00E36405"/>
    <w:rsid w:val="00E3660A"/>
    <w:rsid w:val="00E3743A"/>
    <w:rsid w:val="00E374D5"/>
    <w:rsid w:val="00E37564"/>
    <w:rsid w:val="00E40105"/>
    <w:rsid w:val="00E4066A"/>
    <w:rsid w:val="00E40683"/>
    <w:rsid w:val="00E409E6"/>
    <w:rsid w:val="00E41282"/>
    <w:rsid w:val="00E41E2A"/>
    <w:rsid w:val="00E4248A"/>
    <w:rsid w:val="00E424A0"/>
    <w:rsid w:val="00E4283E"/>
    <w:rsid w:val="00E4316D"/>
    <w:rsid w:val="00E43494"/>
    <w:rsid w:val="00E4354E"/>
    <w:rsid w:val="00E43B59"/>
    <w:rsid w:val="00E43E88"/>
    <w:rsid w:val="00E446E5"/>
    <w:rsid w:val="00E44ABF"/>
    <w:rsid w:val="00E44C34"/>
    <w:rsid w:val="00E44FFD"/>
    <w:rsid w:val="00E454AD"/>
    <w:rsid w:val="00E459A4"/>
    <w:rsid w:val="00E459E9"/>
    <w:rsid w:val="00E45CC9"/>
    <w:rsid w:val="00E45EC4"/>
    <w:rsid w:val="00E45FB8"/>
    <w:rsid w:val="00E46F3A"/>
    <w:rsid w:val="00E47226"/>
    <w:rsid w:val="00E474E8"/>
    <w:rsid w:val="00E47863"/>
    <w:rsid w:val="00E47C5F"/>
    <w:rsid w:val="00E5050D"/>
    <w:rsid w:val="00E507CB"/>
    <w:rsid w:val="00E5081C"/>
    <w:rsid w:val="00E508BF"/>
    <w:rsid w:val="00E5091B"/>
    <w:rsid w:val="00E50A63"/>
    <w:rsid w:val="00E50E59"/>
    <w:rsid w:val="00E520BA"/>
    <w:rsid w:val="00E522E6"/>
    <w:rsid w:val="00E52484"/>
    <w:rsid w:val="00E52814"/>
    <w:rsid w:val="00E528EA"/>
    <w:rsid w:val="00E529B1"/>
    <w:rsid w:val="00E52CC5"/>
    <w:rsid w:val="00E535A8"/>
    <w:rsid w:val="00E53671"/>
    <w:rsid w:val="00E5404D"/>
    <w:rsid w:val="00E54168"/>
    <w:rsid w:val="00E545E5"/>
    <w:rsid w:val="00E54683"/>
    <w:rsid w:val="00E54E40"/>
    <w:rsid w:val="00E55298"/>
    <w:rsid w:val="00E55601"/>
    <w:rsid w:val="00E5582C"/>
    <w:rsid w:val="00E5620C"/>
    <w:rsid w:val="00E56319"/>
    <w:rsid w:val="00E567A9"/>
    <w:rsid w:val="00E57859"/>
    <w:rsid w:val="00E57E1A"/>
    <w:rsid w:val="00E57F98"/>
    <w:rsid w:val="00E6060B"/>
    <w:rsid w:val="00E61142"/>
    <w:rsid w:val="00E61587"/>
    <w:rsid w:val="00E61BB0"/>
    <w:rsid w:val="00E61EC8"/>
    <w:rsid w:val="00E624A0"/>
    <w:rsid w:val="00E62A56"/>
    <w:rsid w:val="00E633F1"/>
    <w:rsid w:val="00E636F5"/>
    <w:rsid w:val="00E636FD"/>
    <w:rsid w:val="00E6378B"/>
    <w:rsid w:val="00E64617"/>
    <w:rsid w:val="00E647F9"/>
    <w:rsid w:val="00E6542B"/>
    <w:rsid w:val="00E6548E"/>
    <w:rsid w:val="00E65D92"/>
    <w:rsid w:val="00E663CF"/>
    <w:rsid w:val="00E66418"/>
    <w:rsid w:val="00E66842"/>
    <w:rsid w:val="00E669D9"/>
    <w:rsid w:val="00E66D16"/>
    <w:rsid w:val="00E674F1"/>
    <w:rsid w:val="00E6763F"/>
    <w:rsid w:val="00E70037"/>
    <w:rsid w:val="00E70976"/>
    <w:rsid w:val="00E70A84"/>
    <w:rsid w:val="00E71356"/>
    <w:rsid w:val="00E7161D"/>
    <w:rsid w:val="00E71CB0"/>
    <w:rsid w:val="00E71DBA"/>
    <w:rsid w:val="00E72897"/>
    <w:rsid w:val="00E72BEB"/>
    <w:rsid w:val="00E72E41"/>
    <w:rsid w:val="00E73712"/>
    <w:rsid w:val="00E73AA5"/>
    <w:rsid w:val="00E73EAE"/>
    <w:rsid w:val="00E74254"/>
    <w:rsid w:val="00E7428F"/>
    <w:rsid w:val="00E7562E"/>
    <w:rsid w:val="00E75926"/>
    <w:rsid w:val="00E7629E"/>
    <w:rsid w:val="00E762CA"/>
    <w:rsid w:val="00E763A2"/>
    <w:rsid w:val="00E768D4"/>
    <w:rsid w:val="00E7696C"/>
    <w:rsid w:val="00E76DD1"/>
    <w:rsid w:val="00E7708D"/>
    <w:rsid w:val="00E771B7"/>
    <w:rsid w:val="00E7741E"/>
    <w:rsid w:val="00E778E9"/>
    <w:rsid w:val="00E77E05"/>
    <w:rsid w:val="00E802C1"/>
    <w:rsid w:val="00E80450"/>
    <w:rsid w:val="00E804FD"/>
    <w:rsid w:val="00E80540"/>
    <w:rsid w:val="00E805B8"/>
    <w:rsid w:val="00E805CD"/>
    <w:rsid w:val="00E80793"/>
    <w:rsid w:val="00E80AE7"/>
    <w:rsid w:val="00E80B36"/>
    <w:rsid w:val="00E80E2A"/>
    <w:rsid w:val="00E81025"/>
    <w:rsid w:val="00E8108A"/>
    <w:rsid w:val="00E810C1"/>
    <w:rsid w:val="00E81283"/>
    <w:rsid w:val="00E8130A"/>
    <w:rsid w:val="00E81451"/>
    <w:rsid w:val="00E817CE"/>
    <w:rsid w:val="00E81915"/>
    <w:rsid w:val="00E81A0C"/>
    <w:rsid w:val="00E81B3F"/>
    <w:rsid w:val="00E81ECE"/>
    <w:rsid w:val="00E8265E"/>
    <w:rsid w:val="00E82CD0"/>
    <w:rsid w:val="00E82D42"/>
    <w:rsid w:val="00E82E8A"/>
    <w:rsid w:val="00E83357"/>
    <w:rsid w:val="00E83405"/>
    <w:rsid w:val="00E838D1"/>
    <w:rsid w:val="00E847EA"/>
    <w:rsid w:val="00E84C9C"/>
    <w:rsid w:val="00E84D86"/>
    <w:rsid w:val="00E851A8"/>
    <w:rsid w:val="00E85646"/>
    <w:rsid w:val="00E8576F"/>
    <w:rsid w:val="00E85DC1"/>
    <w:rsid w:val="00E86AC3"/>
    <w:rsid w:val="00E87076"/>
    <w:rsid w:val="00E87129"/>
    <w:rsid w:val="00E873AC"/>
    <w:rsid w:val="00E874A6"/>
    <w:rsid w:val="00E901B8"/>
    <w:rsid w:val="00E9026D"/>
    <w:rsid w:val="00E90644"/>
    <w:rsid w:val="00E906D0"/>
    <w:rsid w:val="00E910D5"/>
    <w:rsid w:val="00E916FE"/>
    <w:rsid w:val="00E91EF9"/>
    <w:rsid w:val="00E921BF"/>
    <w:rsid w:val="00E9267A"/>
    <w:rsid w:val="00E92996"/>
    <w:rsid w:val="00E92C50"/>
    <w:rsid w:val="00E93529"/>
    <w:rsid w:val="00E938D5"/>
    <w:rsid w:val="00E93DC1"/>
    <w:rsid w:val="00E9424F"/>
    <w:rsid w:val="00E947C4"/>
    <w:rsid w:val="00E948E7"/>
    <w:rsid w:val="00E950A9"/>
    <w:rsid w:val="00E9516C"/>
    <w:rsid w:val="00E96310"/>
    <w:rsid w:val="00E9639C"/>
    <w:rsid w:val="00E96458"/>
    <w:rsid w:val="00E964E6"/>
    <w:rsid w:val="00E96B61"/>
    <w:rsid w:val="00E96F5E"/>
    <w:rsid w:val="00E96F6A"/>
    <w:rsid w:val="00E9727A"/>
    <w:rsid w:val="00E973C1"/>
    <w:rsid w:val="00E97CD2"/>
    <w:rsid w:val="00E97E3B"/>
    <w:rsid w:val="00E97F71"/>
    <w:rsid w:val="00EA02AB"/>
    <w:rsid w:val="00EA0E5D"/>
    <w:rsid w:val="00EA16A9"/>
    <w:rsid w:val="00EA1C73"/>
    <w:rsid w:val="00EA1F5A"/>
    <w:rsid w:val="00EA24A7"/>
    <w:rsid w:val="00EA2794"/>
    <w:rsid w:val="00EA2E48"/>
    <w:rsid w:val="00EA2EAA"/>
    <w:rsid w:val="00EA2FE8"/>
    <w:rsid w:val="00EA3471"/>
    <w:rsid w:val="00EA3D57"/>
    <w:rsid w:val="00EA412C"/>
    <w:rsid w:val="00EA4281"/>
    <w:rsid w:val="00EA451B"/>
    <w:rsid w:val="00EA46E3"/>
    <w:rsid w:val="00EA4938"/>
    <w:rsid w:val="00EA4C0A"/>
    <w:rsid w:val="00EA4D2E"/>
    <w:rsid w:val="00EA4E95"/>
    <w:rsid w:val="00EA5469"/>
    <w:rsid w:val="00EA6198"/>
    <w:rsid w:val="00EA6699"/>
    <w:rsid w:val="00EA6D8B"/>
    <w:rsid w:val="00EA709E"/>
    <w:rsid w:val="00EA70C5"/>
    <w:rsid w:val="00EA71EE"/>
    <w:rsid w:val="00EB0015"/>
    <w:rsid w:val="00EB03A7"/>
    <w:rsid w:val="00EB064F"/>
    <w:rsid w:val="00EB06A7"/>
    <w:rsid w:val="00EB089A"/>
    <w:rsid w:val="00EB0C7C"/>
    <w:rsid w:val="00EB1DEF"/>
    <w:rsid w:val="00EB1E40"/>
    <w:rsid w:val="00EB286F"/>
    <w:rsid w:val="00EB3611"/>
    <w:rsid w:val="00EB37A2"/>
    <w:rsid w:val="00EB3A0A"/>
    <w:rsid w:val="00EB3B68"/>
    <w:rsid w:val="00EB4066"/>
    <w:rsid w:val="00EB437B"/>
    <w:rsid w:val="00EB453D"/>
    <w:rsid w:val="00EB5230"/>
    <w:rsid w:val="00EB52D0"/>
    <w:rsid w:val="00EB55B9"/>
    <w:rsid w:val="00EB563A"/>
    <w:rsid w:val="00EB59B9"/>
    <w:rsid w:val="00EB5C9E"/>
    <w:rsid w:val="00EB69AE"/>
    <w:rsid w:val="00EB6DF5"/>
    <w:rsid w:val="00EB6F21"/>
    <w:rsid w:val="00EB748E"/>
    <w:rsid w:val="00EB7827"/>
    <w:rsid w:val="00EC0117"/>
    <w:rsid w:val="00EC012C"/>
    <w:rsid w:val="00EC097A"/>
    <w:rsid w:val="00EC0A30"/>
    <w:rsid w:val="00EC1351"/>
    <w:rsid w:val="00EC191D"/>
    <w:rsid w:val="00EC1DDC"/>
    <w:rsid w:val="00EC2A37"/>
    <w:rsid w:val="00EC3410"/>
    <w:rsid w:val="00EC38D1"/>
    <w:rsid w:val="00EC39DA"/>
    <w:rsid w:val="00EC3BCE"/>
    <w:rsid w:val="00EC3E02"/>
    <w:rsid w:val="00EC3E9C"/>
    <w:rsid w:val="00EC3FD3"/>
    <w:rsid w:val="00EC4263"/>
    <w:rsid w:val="00EC46A2"/>
    <w:rsid w:val="00EC489D"/>
    <w:rsid w:val="00EC5485"/>
    <w:rsid w:val="00EC5AF4"/>
    <w:rsid w:val="00EC5B04"/>
    <w:rsid w:val="00EC5D32"/>
    <w:rsid w:val="00EC700D"/>
    <w:rsid w:val="00EC7030"/>
    <w:rsid w:val="00EC7207"/>
    <w:rsid w:val="00EC73FF"/>
    <w:rsid w:val="00EC7C35"/>
    <w:rsid w:val="00ED0560"/>
    <w:rsid w:val="00ED0AE2"/>
    <w:rsid w:val="00ED0C5F"/>
    <w:rsid w:val="00ED122C"/>
    <w:rsid w:val="00ED1526"/>
    <w:rsid w:val="00ED1BF4"/>
    <w:rsid w:val="00ED1C29"/>
    <w:rsid w:val="00ED1F7B"/>
    <w:rsid w:val="00ED20F3"/>
    <w:rsid w:val="00ED2C72"/>
    <w:rsid w:val="00ED306B"/>
    <w:rsid w:val="00ED339E"/>
    <w:rsid w:val="00ED3681"/>
    <w:rsid w:val="00ED3719"/>
    <w:rsid w:val="00ED3A0A"/>
    <w:rsid w:val="00ED3D65"/>
    <w:rsid w:val="00ED3EE1"/>
    <w:rsid w:val="00ED3F20"/>
    <w:rsid w:val="00ED405E"/>
    <w:rsid w:val="00ED42ED"/>
    <w:rsid w:val="00ED48B1"/>
    <w:rsid w:val="00ED4C89"/>
    <w:rsid w:val="00ED4D52"/>
    <w:rsid w:val="00ED501C"/>
    <w:rsid w:val="00ED592C"/>
    <w:rsid w:val="00ED5DF5"/>
    <w:rsid w:val="00ED5F9B"/>
    <w:rsid w:val="00ED606E"/>
    <w:rsid w:val="00ED625F"/>
    <w:rsid w:val="00ED628E"/>
    <w:rsid w:val="00ED65AF"/>
    <w:rsid w:val="00ED6723"/>
    <w:rsid w:val="00ED6F38"/>
    <w:rsid w:val="00ED7570"/>
    <w:rsid w:val="00ED7742"/>
    <w:rsid w:val="00ED7CA0"/>
    <w:rsid w:val="00ED7D36"/>
    <w:rsid w:val="00EE0CC9"/>
    <w:rsid w:val="00EE1A64"/>
    <w:rsid w:val="00EE1D4B"/>
    <w:rsid w:val="00EE297B"/>
    <w:rsid w:val="00EE2AEC"/>
    <w:rsid w:val="00EE2FAA"/>
    <w:rsid w:val="00EE3137"/>
    <w:rsid w:val="00EE34C5"/>
    <w:rsid w:val="00EE3C60"/>
    <w:rsid w:val="00EE3FDC"/>
    <w:rsid w:val="00EE4651"/>
    <w:rsid w:val="00EE4807"/>
    <w:rsid w:val="00EE48EB"/>
    <w:rsid w:val="00EE498F"/>
    <w:rsid w:val="00EE4AD3"/>
    <w:rsid w:val="00EE4D77"/>
    <w:rsid w:val="00EE4FBD"/>
    <w:rsid w:val="00EE50D5"/>
    <w:rsid w:val="00EE581B"/>
    <w:rsid w:val="00EE58B3"/>
    <w:rsid w:val="00EE5D4D"/>
    <w:rsid w:val="00EE5D8E"/>
    <w:rsid w:val="00EE6586"/>
    <w:rsid w:val="00EE6EA0"/>
    <w:rsid w:val="00EE6F28"/>
    <w:rsid w:val="00EE72A7"/>
    <w:rsid w:val="00EE77A8"/>
    <w:rsid w:val="00EE77F5"/>
    <w:rsid w:val="00EE7871"/>
    <w:rsid w:val="00EE7B7B"/>
    <w:rsid w:val="00EE7F6F"/>
    <w:rsid w:val="00EF006A"/>
    <w:rsid w:val="00EF057B"/>
    <w:rsid w:val="00EF0ECA"/>
    <w:rsid w:val="00EF102A"/>
    <w:rsid w:val="00EF127A"/>
    <w:rsid w:val="00EF134C"/>
    <w:rsid w:val="00EF21D9"/>
    <w:rsid w:val="00EF24FE"/>
    <w:rsid w:val="00EF2ABF"/>
    <w:rsid w:val="00EF347E"/>
    <w:rsid w:val="00EF372A"/>
    <w:rsid w:val="00EF3F8F"/>
    <w:rsid w:val="00EF4134"/>
    <w:rsid w:val="00EF4296"/>
    <w:rsid w:val="00EF485B"/>
    <w:rsid w:val="00EF489B"/>
    <w:rsid w:val="00EF55D0"/>
    <w:rsid w:val="00EF576B"/>
    <w:rsid w:val="00EF581D"/>
    <w:rsid w:val="00EF583B"/>
    <w:rsid w:val="00EF59F1"/>
    <w:rsid w:val="00EF5BAA"/>
    <w:rsid w:val="00EF6275"/>
    <w:rsid w:val="00EF630B"/>
    <w:rsid w:val="00EF6525"/>
    <w:rsid w:val="00EF65F4"/>
    <w:rsid w:val="00EF6C84"/>
    <w:rsid w:val="00EF6E9C"/>
    <w:rsid w:val="00EF73C5"/>
    <w:rsid w:val="00EF7FD6"/>
    <w:rsid w:val="00F00E11"/>
    <w:rsid w:val="00F01094"/>
    <w:rsid w:val="00F010FA"/>
    <w:rsid w:val="00F01114"/>
    <w:rsid w:val="00F018D7"/>
    <w:rsid w:val="00F01D04"/>
    <w:rsid w:val="00F02921"/>
    <w:rsid w:val="00F0307C"/>
    <w:rsid w:val="00F03202"/>
    <w:rsid w:val="00F036EC"/>
    <w:rsid w:val="00F03DBF"/>
    <w:rsid w:val="00F04492"/>
    <w:rsid w:val="00F0482E"/>
    <w:rsid w:val="00F063FA"/>
    <w:rsid w:val="00F06414"/>
    <w:rsid w:val="00F06823"/>
    <w:rsid w:val="00F06F0F"/>
    <w:rsid w:val="00F1048A"/>
    <w:rsid w:val="00F1055C"/>
    <w:rsid w:val="00F105FD"/>
    <w:rsid w:val="00F10F99"/>
    <w:rsid w:val="00F1170E"/>
    <w:rsid w:val="00F118BD"/>
    <w:rsid w:val="00F119EB"/>
    <w:rsid w:val="00F126E7"/>
    <w:rsid w:val="00F1272E"/>
    <w:rsid w:val="00F12A0D"/>
    <w:rsid w:val="00F12CA2"/>
    <w:rsid w:val="00F13834"/>
    <w:rsid w:val="00F1395B"/>
    <w:rsid w:val="00F13F7C"/>
    <w:rsid w:val="00F142A3"/>
    <w:rsid w:val="00F142C6"/>
    <w:rsid w:val="00F14431"/>
    <w:rsid w:val="00F147B8"/>
    <w:rsid w:val="00F14D21"/>
    <w:rsid w:val="00F15212"/>
    <w:rsid w:val="00F1544F"/>
    <w:rsid w:val="00F158A9"/>
    <w:rsid w:val="00F159ED"/>
    <w:rsid w:val="00F15CE5"/>
    <w:rsid w:val="00F15F93"/>
    <w:rsid w:val="00F1693B"/>
    <w:rsid w:val="00F17267"/>
    <w:rsid w:val="00F175FB"/>
    <w:rsid w:val="00F17B51"/>
    <w:rsid w:val="00F200D4"/>
    <w:rsid w:val="00F20606"/>
    <w:rsid w:val="00F20987"/>
    <w:rsid w:val="00F20A6C"/>
    <w:rsid w:val="00F21008"/>
    <w:rsid w:val="00F21207"/>
    <w:rsid w:val="00F214E2"/>
    <w:rsid w:val="00F21533"/>
    <w:rsid w:val="00F21D68"/>
    <w:rsid w:val="00F21E1A"/>
    <w:rsid w:val="00F220D8"/>
    <w:rsid w:val="00F2212C"/>
    <w:rsid w:val="00F225E8"/>
    <w:rsid w:val="00F226DE"/>
    <w:rsid w:val="00F2289E"/>
    <w:rsid w:val="00F232F8"/>
    <w:rsid w:val="00F23D49"/>
    <w:rsid w:val="00F23D5F"/>
    <w:rsid w:val="00F2431B"/>
    <w:rsid w:val="00F245A3"/>
    <w:rsid w:val="00F250D7"/>
    <w:rsid w:val="00F2546D"/>
    <w:rsid w:val="00F258E9"/>
    <w:rsid w:val="00F25AEC"/>
    <w:rsid w:val="00F25E01"/>
    <w:rsid w:val="00F264DC"/>
    <w:rsid w:val="00F266AB"/>
    <w:rsid w:val="00F26E4E"/>
    <w:rsid w:val="00F26F3A"/>
    <w:rsid w:val="00F2735C"/>
    <w:rsid w:val="00F27371"/>
    <w:rsid w:val="00F27C94"/>
    <w:rsid w:val="00F30150"/>
    <w:rsid w:val="00F30338"/>
    <w:rsid w:val="00F307CA"/>
    <w:rsid w:val="00F31A10"/>
    <w:rsid w:val="00F321BE"/>
    <w:rsid w:val="00F3239C"/>
    <w:rsid w:val="00F32B0F"/>
    <w:rsid w:val="00F32D2C"/>
    <w:rsid w:val="00F32F78"/>
    <w:rsid w:val="00F33239"/>
    <w:rsid w:val="00F3335A"/>
    <w:rsid w:val="00F344FE"/>
    <w:rsid w:val="00F3465B"/>
    <w:rsid w:val="00F358EA"/>
    <w:rsid w:val="00F3650D"/>
    <w:rsid w:val="00F36DC7"/>
    <w:rsid w:val="00F36F3A"/>
    <w:rsid w:val="00F3701B"/>
    <w:rsid w:val="00F37A13"/>
    <w:rsid w:val="00F37ADB"/>
    <w:rsid w:val="00F37F9E"/>
    <w:rsid w:val="00F4004A"/>
    <w:rsid w:val="00F400D2"/>
    <w:rsid w:val="00F40803"/>
    <w:rsid w:val="00F40D17"/>
    <w:rsid w:val="00F40DF5"/>
    <w:rsid w:val="00F40F3F"/>
    <w:rsid w:val="00F410E9"/>
    <w:rsid w:val="00F41F6F"/>
    <w:rsid w:val="00F426B7"/>
    <w:rsid w:val="00F427AA"/>
    <w:rsid w:val="00F4281F"/>
    <w:rsid w:val="00F42A4A"/>
    <w:rsid w:val="00F42AA7"/>
    <w:rsid w:val="00F42FF3"/>
    <w:rsid w:val="00F4341B"/>
    <w:rsid w:val="00F4348B"/>
    <w:rsid w:val="00F43604"/>
    <w:rsid w:val="00F43801"/>
    <w:rsid w:val="00F43D21"/>
    <w:rsid w:val="00F43D8F"/>
    <w:rsid w:val="00F44D28"/>
    <w:rsid w:val="00F44D2D"/>
    <w:rsid w:val="00F461B5"/>
    <w:rsid w:val="00F46D83"/>
    <w:rsid w:val="00F46E8B"/>
    <w:rsid w:val="00F47D2F"/>
    <w:rsid w:val="00F47EFA"/>
    <w:rsid w:val="00F505B2"/>
    <w:rsid w:val="00F5081A"/>
    <w:rsid w:val="00F50B85"/>
    <w:rsid w:val="00F517DB"/>
    <w:rsid w:val="00F520AA"/>
    <w:rsid w:val="00F5216D"/>
    <w:rsid w:val="00F52A12"/>
    <w:rsid w:val="00F52F31"/>
    <w:rsid w:val="00F53A7E"/>
    <w:rsid w:val="00F53ADE"/>
    <w:rsid w:val="00F53F7B"/>
    <w:rsid w:val="00F544E7"/>
    <w:rsid w:val="00F54609"/>
    <w:rsid w:val="00F547D6"/>
    <w:rsid w:val="00F5481E"/>
    <w:rsid w:val="00F549E2"/>
    <w:rsid w:val="00F54BCE"/>
    <w:rsid w:val="00F5595A"/>
    <w:rsid w:val="00F559BE"/>
    <w:rsid w:val="00F55F9F"/>
    <w:rsid w:val="00F56066"/>
    <w:rsid w:val="00F5659C"/>
    <w:rsid w:val="00F5740C"/>
    <w:rsid w:val="00F5781A"/>
    <w:rsid w:val="00F6019C"/>
    <w:rsid w:val="00F60874"/>
    <w:rsid w:val="00F60D84"/>
    <w:rsid w:val="00F6159C"/>
    <w:rsid w:val="00F61887"/>
    <w:rsid w:val="00F6199B"/>
    <w:rsid w:val="00F61F95"/>
    <w:rsid w:val="00F62A77"/>
    <w:rsid w:val="00F63226"/>
    <w:rsid w:val="00F6357B"/>
    <w:rsid w:val="00F637AA"/>
    <w:rsid w:val="00F63F07"/>
    <w:rsid w:val="00F64768"/>
    <w:rsid w:val="00F64C89"/>
    <w:rsid w:val="00F64D2C"/>
    <w:rsid w:val="00F64EFC"/>
    <w:rsid w:val="00F65323"/>
    <w:rsid w:val="00F655E0"/>
    <w:rsid w:val="00F65930"/>
    <w:rsid w:val="00F65B6C"/>
    <w:rsid w:val="00F6745D"/>
    <w:rsid w:val="00F675C9"/>
    <w:rsid w:val="00F676A2"/>
    <w:rsid w:val="00F67746"/>
    <w:rsid w:val="00F6792E"/>
    <w:rsid w:val="00F67FE1"/>
    <w:rsid w:val="00F701F9"/>
    <w:rsid w:val="00F70B21"/>
    <w:rsid w:val="00F71156"/>
    <w:rsid w:val="00F71782"/>
    <w:rsid w:val="00F71A77"/>
    <w:rsid w:val="00F71A7B"/>
    <w:rsid w:val="00F71A93"/>
    <w:rsid w:val="00F71B97"/>
    <w:rsid w:val="00F724EB"/>
    <w:rsid w:val="00F7298D"/>
    <w:rsid w:val="00F729BB"/>
    <w:rsid w:val="00F72F07"/>
    <w:rsid w:val="00F72FAE"/>
    <w:rsid w:val="00F73F43"/>
    <w:rsid w:val="00F740B8"/>
    <w:rsid w:val="00F747F1"/>
    <w:rsid w:val="00F74C3A"/>
    <w:rsid w:val="00F75A9F"/>
    <w:rsid w:val="00F7634B"/>
    <w:rsid w:val="00F76C7D"/>
    <w:rsid w:val="00F76DDD"/>
    <w:rsid w:val="00F76DE5"/>
    <w:rsid w:val="00F771A1"/>
    <w:rsid w:val="00F771D6"/>
    <w:rsid w:val="00F772B0"/>
    <w:rsid w:val="00F77D11"/>
    <w:rsid w:val="00F77E8B"/>
    <w:rsid w:val="00F77ED2"/>
    <w:rsid w:val="00F80083"/>
    <w:rsid w:val="00F80AA3"/>
    <w:rsid w:val="00F81848"/>
    <w:rsid w:val="00F818DC"/>
    <w:rsid w:val="00F81B41"/>
    <w:rsid w:val="00F8203F"/>
    <w:rsid w:val="00F82340"/>
    <w:rsid w:val="00F83ABA"/>
    <w:rsid w:val="00F83CE5"/>
    <w:rsid w:val="00F840EB"/>
    <w:rsid w:val="00F848E0"/>
    <w:rsid w:val="00F84C1E"/>
    <w:rsid w:val="00F86017"/>
    <w:rsid w:val="00F86FCD"/>
    <w:rsid w:val="00F87376"/>
    <w:rsid w:val="00F873AA"/>
    <w:rsid w:val="00F878E0"/>
    <w:rsid w:val="00F903D4"/>
    <w:rsid w:val="00F9072E"/>
    <w:rsid w:val="00F90780"/>
    <w:rsid w:val="00F90966"/>
    <w:rsid w:val="00F90D32"/>
    <w:rsid w:val="00F912BA"/>
    <w:rsid w:val="00F913A5"/>
    <w:rsid w:val="00F923C8"/>
    <w:rsid w:val="00F924CC"/>
    <w:rsid w:val="00F9293D"/>
    <w:rsid w:val="00F92AFA"/>
    <w:rsid w:val="00F93855"/>
    <w:rsid w:val="00F93A86"/>
    <w:rsid w:val="00F93DBB"/>
    <w:rsid w:val="00F94349"/>
    <w:rsid w:val="00F94CBD"/>
    <w:rsid w:val="00F94CE2"/>
    <w:rsid w:val="00F94FC6"/>
    <w:rsid w:val="00F957DF"/>
    <w:rsid w:val="00F968C2"/>
    <w:rsid w:val="00F96C9D"/>
    <w:rsid w:val="00F96CA9"/>
    <w:rsid w:val="00F96D0A"/>
    <w:rsid w:val="00F96D9E"/>
    <w:rsid w:val="00F96E1C"/>
    <w:rsid w:val="00F96E43"/>
    <w:rsid w:val="00F97642"/>
    <w:rsid w:val="00F97717"/>
    <w:rsid w:val="00F97A35"/>
    <w:rsid w:val="00FA0325"/>
    <w:rsid w:val="00FA062C"/>
    <w:rsid w:val="00FA124F"/>
    <w:rsid w:val="00FA125F"/>
    <w:rsid w:val="00FA146A"/>
    <w:rsid w:val="00FA1DF2"/>
    <w:rsid w:val="00FA2194"/>
    <w:rsid w:val="00FA22F4"/>
    <w:rsid w:val="00FA3535"/>
    <w:rsid w:val="00FA3B0F"/>
    <w:rsid w:val="00FA3D8B"/>
    <w:rsid w:val="00FA3DF6"/>
    <w:rsid w:val="00FA41FE"/>
    <w:rsid w:val="00FA4543"/>
    <w:rsid w:val="00FA48FB"/>
    <w:rsid w:val="00FA4BC8"/>
    <w:rsid w:val="00FA5148"/>
    <w:rsid w:val="00FA5394"/>
    <w:rsid w:val="00FA55FC"/>
    <w:rsid w:val="00FA5CEA"/>
    <w:rsid w:val="00FA5F80"/>
    <w:rsid w:val="00FA6278"/>
    <w:rsid w:val="00FA6535"/>
    <w:rsid w:val="00FA7079"/>
    <w:rsid w:val="00FA7166"/>
    <w:rsid w:val="00FA7FA3"/>
    <w:rsid w:val="00FB0122"/>
    <w:rsid w:val="00FB067A"/>
    <w:rsid w:val="00FB08FB"/>
    <w:rsid w:val="00FB0D46"/>
    <w:rsid w:val="00FB0DB2"/>
    <w:rsid w:val="00FB0FF3"/>
    <w:rsid w:val="00FB1451"/>
    <w:rsid w:val="00FB158F"/>
    <w:rsid w:val="00FB2085"/>
    <w:rsid w:val="00FB23FF"/>
    <w:rsid w:val="00FB27A6"/>
    <w:rsid w:val="00FB4CDA"/>
    <w:rsid w:val="00FB4F6C"/>
    <w:rsid w:val="00FB5035"/>
    <w:rsid w:val="00FB54F0"/>
    <w:rsid w:val="00FB58DD"/>
    <w:rsid w:val="00FB5C82"/>
    <w:rsid w:val="00FB6622"/>
    <w:rsid w:val="00FB6E1B"/>
    <w:rsid w:val="00FB76AB"/>
    <w:rsid w:val="00FB7D57"/>
    <w:rsid w:val="00FC01BD"/>
    <w:rsid w:val="00FC02D9"/>
    <w:rsid w:val="00FC0458"/>
    <w:rsid w:val="00FC05B4"/>
    <w:rsid w:val="00FC0FE9"/>
    <w:rsid w:val="00FC1440"/>
    <w:rsid w:val="00FC17EC"/>
    <w:rsid w:val="00FC195B"/>
    <w:rsid w:val="00FC1DE4"/>
    <w:rsid w:val="00FC1E89"/>
    <w:rsid w:val="00FC1F80"/>
    <w:rsid w:val="00FC2C90"/>
    <w:rsid w:val="00FC340A"/>
    <w:rsid w:val="00FC3A9B"/>
    <w:rsid w:val="00FC461E"/>
    <w:rsid w:val="00FC4DD4"/>
    <w:rsid w:val="00FC59B8"/>
    <w:rsid w:val="00FC5C92"/>
    <w:rsid w:val="00FC5EE1"/>
    <w:rsid w:val="00FC6AE8"/>
    <w:rsid w:val="00FC70B5"/>
    <w:rsid w:val="00FC7217"/>
    <w:rsid w:val="00FD0209"/>
    <w:rsid w:val="00FD0A94"/>
    <w:rsid w:val="00FD0EC1"/>
    <w:rsid w:val="00FD1198"/>
    <w:rsid w:val="00FD1890"/>
    <w:rsid w:val="00FD1A8C"/>
    <w:rsid w:val="00FD1F50"/>
    <w:rsid w:val="00FD2D14"/>
    <w:rsid w:val="00FD36BC"/>
    <w:rsid w:val="00FD3A8F"/>
    <w:rsid w:val="00FD449E"/>
    <w:rsid w:val="00FD462B"/>
    <w:rsid w:val="00FD4879"/>
    <w:rsid w:val="00FD49F6"/>
    <w:rsid w:val="00FD4F78"/>
    <w:rsid w:val="00FD52DD"/>
    <w:rsid w:val="00FD6155"/>
    <w:rsid w:val="00FD616E"/>
    <w:rsid w:val="00FD6216"/>
    <w:rsid w:val="00FD6379"/>
    <w:rsid w:val="00FD657E"/>
    <w:rsid w:val="00FD6A71"/>
    <w:rsid w:val="00FD6A7F"/>
    <w:rsid w:val="00FD6B52"/>
    <w:rsid w:val="00FD6FE0"/>
    <w:rsid w:val="00FD7475"/>
    <w:rsid w:val="00FD7987"/>
    <w:rsid w:val="00FD7B96"/>
    <w:rsid w:val="00FD7D1F"/>
    <w:rsid w:val="00FD7FC7"/>
    <w:rsid w:val="00FE08E6"/>
    <w:rsid w:val="00FE0C26"/>
    <w:rsid w:val="00FE19F5"/>
    <w:rsid w:val="00FE1B6D"/>
    <w:rsid w:val="00FE1C92"/>
    <w:rsid w:val="00FE281F"/>
    <w:rsid w:val="00FE2FA4"/>
    <w:rsid w:val="00FE3991"/>
    <w:rsid w:val="00FE3B5D"/>
    <w:rsid w:val="00FE4820"/>
    <w:rsid w:val="00FE4886"/>
    <w:rsid w:val="00FE4AAB"/>
    <w:rsid w:val="00FE5075"/>
    <w:rsid w:val="00FE53C3"/>
    <w:rsid w:val="00FE5A09"/>
    <w:rsid w:val="00FE5C31"/>
    <w:rsid w:val="00FE5D1D"/>
    <w:rsid w:val="00FE6543"/>
    <w:rsid w:val="00FE687A"/>
    <w:rsid w:val="00FE69D4"/>
    <w:rsid w:val="00FE746E"/>
    <w:rsid w:val="00FF0236"/>
    <w:rsid w:val="00FF09F6"/>
    <w:rsid w:val="00FF18D7"/>
    <w:rsid w:val="00FF1998"/>
    <w:rsid w:val="00FF1BC5"/>
    <w:rsid w:val="00FF1D7C"/>
    <w:rsid w:val="00FF25E1"/>
    <w:rsid w:val="00FF337D"/>
    <w:rsid w:val="00FF3551"/>
    <w:rsid w:val="00FF3D3D"/>
    <w:rsid w:val="00FF4253"/>
    <w:rsid w:val="00FF4CF8"/>
    <w:rsid w:val="00FF5596"/>
    <w:rsid w:val="00FF5A7E"/>
    <w:rsid w:val="00FF5F15"/>
    <w:rsid w:val="00FF6394"/>
    <w:rsid w:val="00FF6513"/>
    <w:rsid w:val="00FF7C9A"/>
    <w:rsid w:val="00FF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CABB25"/>
  <w15:docId w15:val="{8AFE6036-6E3F-4257-9D91-C34F9ADE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07A"/>
    <w:pPr>
      <w:spacing w:after="60"/>
      <w:jc w:val="both"/>
    </w:pPr>
    <w:rPr>
      <w:szCs w:val="24"/>
    </w:rPr>
  </w:style>
  <w:style w:type="paragraph" w:styleId="Heading1">
    <w:name w:val="heading 1"/>
    <w:basedOn w:val="Normal"/>
    <w:next w:val="Normal"/>
    <w:link w:val="Heading1Char"/>
    <w:qFormat/>
    <w:rsid w:val="00901804"/>
    <w:pPr>
      <w:keepNext/>
      <w:numPr>
        <w:numId w:val="1"/>
      </w:numPr>
      <w:pBdr>
        <w:top w:val="single" w:sz="4" w:space="1" w:color="auto"/>
      </w:pBdr>
      <w:suppressAutoHyphens/>
      <w:spacing w:before="104" w:after="226"/>
      <w:outlineLvl w:val="0"/>
    </w:pPr>
    <w:rPr>
      <w:rFonts w:asciiTheme="majorHAnsi" w:hAnsiTheme="majorHAnsi"/>
      <w:b/>
      <w:smallCaps/>
      <w:spacing w:val="-2"/>
      <w:sz w:val="28"/>
      <w:szCs w:val="20"/>
    </w:rPr>
  </w:style>
  <w:style w:type="paragraph" w:styleId="Heading2">
    <w:name w:val="heading 2"/>
    <w:basedOn w:val="Normal"/>
    <w:next w:val="Normal"/>
    <w:link w:val="Heading2Char1"/>
    <w:qFormat/>
    <w:rsid w:val="00E93DC1"/>
    <w:pPr>
      <w:keepNext/>
      <w:ind w:left="720"/>
      <w:outlineLvl w:val="1"/>
    </w:pPr>
    <w:rPr>
      <w:rFonts w:ascii="Arial Narrow" w:hAnsi="Arial Narrow"/>
      <w:b/>
      <w:bCs/>
    </w:rPr>
  </w:style>
  <w:style w:type="paragraph" w:styleId="Heading3">
    <w:name w:val="heading 3"/>
    <w:basedOn w:val="Normal"/>
    <w:next w:val="Normal"/>
    <w:link w:val="Heading3Char"/>
    <w:qFormat/>
    <w:rsid w:val="00E93DC1"/>
    <w:pPr>
      <w:keepNext/>
      <w:widowControl w:val="0"/>
      <w:tabs>
        <w:tab w:val="left" w:pos="2160"/>
        <w:tab w:val="left" w:pos="9360"/>
      </w:tabs>
      <w:outlineLvl w:val="2"/>
    </w:pPr>
    <w:rPr>
      <w:rFonts w:ascii="Courier" w:hAnsi="Courier"/>
      <w:b/>
      <w:sz w:val="28"/>
      <w:szCs w:val="20"/>
    </w:rPr>
  </w:style>
  <w:style w:type="paragraph" w:styleId="Heading4">
    <w:name w:val="heading 4"/>
    <w:basedOn w:val="Normal"/>
    <w:next w:val="Normal"/>
    <w:link w:val="Heading4Char"/>
    <w:qFormat/>
    <w:rsid w:val="00E93DC1"/>
    <w:pPr>
      <w:keepNext/>
      <w:widowControl w:val="0"/>
      <w:spacing w:after="540"/>
      <w:ind w:left="116"/>
      <w:outlineLvl w:val="3"/>
    </w:pPr>
    <w:rPr>
      <w:b/>
      <w:spacing w:val="15"/>
      <w:sz w:val="28"/>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6">
    <w:name w:val="heading 6"/>
    <w:basedOn w:val="Normal"/>
    <w:next w:val="Normal"/>
    <w:link w:val="Heading6Char"/>
    <w:qFormat/>
    <w:rsid w:val="00EC38D1"/>
    <w:pPr>
      <w:keepNext/>
      <w:spacing w:after="0"/>
      <w:ind w:left="360"/>
      <w:jc w:val="left"/>
      <w:outlineLvl w:val="5"/>
    </w:pPr>
    <w:rPr>
      <w:rFonts w:ascii="Times New Roman" w:eastAsia="Times New Roman" w:hAnsi="Times New Roman"/>
      <w:b/>
      <w:bCs/>
      <w:smallCaps/>
      <w:sz w:val="24"/>
      <w:lang w:val="x-none" w:eastAsia="x-none"/>
    </w:rPr>
  </w:style>
  <w:style w:type="paragraph" w:styleId="Heading7">
    <w:name w:val="heading 7"/>
    <w:basedOn w:val="Normal"/>
    <w:next w:val="Normal"/>
    <w:link w:val="Heading7Char"/>
    <w:qFormat/>
    <w:rsid w:val="00EC38D1"/>
    <w:pPr>
      <w:keepNext/>
      <w:spacing w:after="0"/>
      <w:jc w:val="left"/>
      <w:outlineLvl w:val="6"/>
    </w:pPr>
    <w:rPr>
      <w:rFonts w:ascii="Times New Roman" w:eastAsia="Times New Roman" w:hAnsi="Times New Roman"/>
      <w:b/>
      <w:bCs/>
      <w:lang w:val="x-none" w:eastAsia="x-none"/>
    </w:rPr>
  </w:style>
  <w:style w:type="paragraph" w:styleId="Heading8">
    <w:name w:val="heading 8"/>
    <w:basedOn w:val="Normal"/>
    <w:next w:val="Normal"/>
    <w:link w:val="Heading8Char"/>
    <w:unhideWhenUsed/>
    <w:qFormat/>
    <w:rsid w:val="000923DC"/>
    <w:pPr>
      <w:spacing w:before="240"/>
      <w:outlineLvl w:val="7"/>
    </w:pPr>
    <w:rPr>
      <w:i/>
      <w:iCs/>
      <w:sz w:val="24"/>
    </w:rPr>
  </w:style>
  <w:style w:type="paragraph" w:styleId="Heading9">
    <w:name w:val="heading 9"/>
    <w:basedOn w:val="Normal"/>
    <w:next w:val="Normal"/>
    <w:link w:val="Heading9Char"/>
    <w:qFormat/>
    <w:rsid w:val="00EC38D1"/>
    <w:pPr>
      <w:keepNext/>
      <w:framePr w:w="3801" w:h="4681" w:hSpace="180" w:wrap="around" w:vAnchor="text" w:hAnchor="page" w:x="7141" w:y="1441"/>
      <w:spacing w:after="0"/>
      <w:jc w:val="left"/>
      <w:outlineLvl w:val="8"/>
    </w:pPr>
    <w:rPr>
      <w:rFonts w:ascii="Times New Roman" w:eastAsia="Times New Roman" w:hAnsi="Times New Roman"/>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260B0"/>
    <w:rPr>
      <w:rFonts w:ascii="Tahoma" w:hAnsi="Tahoma" w:cs="Tahoma"/>
      <w:sz w:val="16"/>
      <w:szCs w:val="16"/>
    </w:rPr>
  </w:style>
  <w:style w:type="character" w:customStyle="1" w:styleId="Heading1Char">
    <w:name w:val="Heading 1 Char"/>
    <w:link w:val="Heading1"/>
    <w:locked/>
    <w:rsid w:val="00901804"/>
    <w:rPr>
      <w:rFonts w:asciiTheme="majorHAnsi" w:hAnsiTheme="majorHAnsi"/>
      <w:b/>
      <w:smallCaps/>
      <w:spacing w:val="-2"/>
      <w:sz w:val="28"/>
      <w:lang w:val="en-GB"/>
    </w:rPr>
  </w:style>
  <w:style w:type="character" w:customStyle="1" w:styleId="Heading2Char1">
    <w:name w:val="Heading 2 Char1"/>
    <w:link w:val="Heading2"/>
    <w:locked/>
    <w:rsid w:val="00CB0802"/>
    <w:rPr>
      <w:rFonts w:ascii="Cambria" w:hAnsi="Cambria" w:cs="Times New Roman"/>
      <w:b/>
      <w:bCs/>
      <w:i/>
      <w:iCs/>
      <w:sz w:val="28"/>
      <w:szCs w:val="28"/>
      <w:lang w:val="en-GB"/>
    </w:rPr>
  </w:style>
  <w:style w:type="character" w:customStyle="1" w:styleId="Heading3Char">
    <w:name w:val="Heading 3 Char"/>
    <w:link w:val="Heading3"/>
    <w:locked/>
    <w:rsid w:val="00CB0802"/>
    <w:rPr>
      <w:rFonts w:ascii="Cambria" w:hAnsi="Cambria" w:cs="Times New Roman"/>
      <w:b/>
      <w:bCs/>
      <w:sz w:val="26"/>
      <w:szCs w:val="26"/>
      <w:lang w:val="en-GB"/>
    </w:rPr>
  </w:style>
  <w:style w:type="character" w:customStyle="1" w:styleId="Heading4Char">
    <w:name w:val="Heading 4 Char"/>
    <w:link w:val="Heading4"/>
    <w:locked/>
    <w:rsid w:val="00CB0802"/>
    <w:rPr>
      <w:rFonts w:ascii="Calibri" w:hAnsi="Calibri" w:cs="Times New Roman"/>
      <w:b/>
      <w:bCs/>
      <w:sz w:val="28"/>
      <w:szCs w:val="28"/>
      <w:lang w:val="en-GB"/>
    </w:rPr>
  </w:style>
  <w:style w:type="character" w:customStyle="1" w:styleId="Heading5Char">
    <w:name w:val="Heading 5 Char"/>
    <w:link w:val="Heading5"/>
    <w:locked/>
    <w:rsid w:val="00CB0802"/>
    <w:rPr>
      <w:rFonts w:ascii="Calibri" w:hAnsi="Calibri" w:cs="Times New Roman"/>
      <w:b/>
      <w:bCs/>
      <w:i/>
      <w:iCs/>
      <w:sz w:val="26"/>
      <w:szCs w:val="26"/>
      <w:lang w:val="en-GB"/>
    </w:rPr>
  </w:style>
  <w:style w:type="paragraph" w:styleId="Header">
    <w:name w:val="header"/>
    <w:basedOn w:val="Normal"/>
    <w:link w:val="HeaderChar"/>
    <w:rsid w:val="00E93DC1"/>
    <w:pPr>
      <w:tabs>
        <w:tab w:val="center" w:pos="4153"/>
        <w:tab w:val="right" w:pos="8306"/>
      </w:tabs>
    </w:pPr>
  </w:style>
  <w:style w:type="character" w:customStyle="1" w:styleId="HeaderChar">
    <w:name w:val="Header Char"/>
    <w:link w:val="Header"/>
    <w:uiPriority w:val="99"/>
    <w:locked/>
    <w:rsid w:val="00CB0802"/>
    <w:rPr>
      <w:rFonts w:ascii="Arial" w:hAnsi="Arial" w:cs="Times New Roman"/>
      <w:sz w:val="24"/>
      <w:szCs w:val="24"/>
      <w:lang w:val="en-GB"/>
    </w:rPr>
  </w:style>
  <w:style w:type="paragraph" w:styleId="Footer">
    <w:name w:val="footer"/>
    <w:basedOn w:val="Normal"/>
    <w:link w:val="FooterChar"/>
    <w:uiPriority w:val="99"/>
    <w:rsid w:val="00E93DC1"/>
    <w:pPr>
      <w:tabs>
        <w:tab w:val="center" w:pos="4153"/>
        <w:tab w:val="right" w:pos="8306"/>
      </w:tabs>
    </w:pPr>
  </w:style>
  <w:style w:type="character" w:customStyle="1" w:styleId="FooterChar">
    <w:name w:val="Footer Char"/>
    <w:link w:val="Footer"/>
    <w:uiPriority w:val="99"/>
    <w:locked/>
    <w:rsid w:val="00CB0802"/>
    <w:rPr>
      <w:rFonts w:ascii="Arial" w:hAnsi="Arial" w:cs="Times New Roman"/>
      <w:sz w:val="24"/>
      <w:szCs w:val="24"/>
      <w:lang w:val="en-GB"/>
    </w:rPr>
  </w:style>
  <w:style w:type="character" w:styleId="PageNumber">
    <w:name w:val="page number"/>
    <w:uiPriority w:val="99"/>
    <w:rsid w:val="00E93DC1"/>
    <w:rPr>
      <w:rFonts w:cs="Times New Roman"/>
    </w:rPr>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
    <w:basedOn w:val="Normal"/>
    <w:link w:val="FootnoteTextChar1"/>
    <w:uiPriority w:val="99"/>
    <w:qFormat/>
    <w:rsid w:val="00901804"/>
    <w:pPr>
      <w:widowControl w:val="0"/>
      <w:spacing w:after="0"/>
    </w:pPr>
    <w:rPr>
      <w:rFonts w:asciiTheme="minorHAnsi" w:hAnsiTheme="minorHAnsi"/>
      <w:sz w:val="18"/>
      <w:szCs w:val="20"/>
    </w:rPr>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ootnoteText"/>
    <w:uiPriority w:val="99"/>
    <w:locked/>
    <w:rsid w:val="00901804"/>
    <w:rPr>
      <w:rFonts w:asciiTheme="minorHAnsi" w:hAnsiTheme="minorHAnsi"/>
      <w:sz w:val="18"/>
    </w:rPr>
  </w:style>
  <w:style w:type="paragraph" w:styleId="BodyText3">
    <w:name w:val="Body Text 3"/>
    <w:basedOn w:val="Normal"/>
    <w:link w:val="BodyText3Char"/>
    <w:rsid w:val="00E93DC1"/>
    <w:rPr>
      <w:szCs w:val="20"/>
    </w:rPr>
  </w:style>
  <w:style w:type="character" w:customStyle="1" w:styleId="BodyText3Char">
    <w:name w:val="Body Text 3 Char"/>
    <w:link w:val="BodyText3"/>
    <w:locked/>
    <w:rsid w:val="00CB0802"/>
    <w:rPr>
      <w:rFonts w:ascii="Arial" w:hAnsi="Arial" w:cs="Times New Roman"/>
      <w:sz w:val="16"/>
      <w:szCs w:val="16"/>
      <w:lang w:val="en-GB"/>
    </w:rPr>
  </w:style>
  <w:style w:type="paragraph" w:styleId="BodyTextIndent">
    <w:name w:val="Body Text Indent"/>
    <w:basedOn w:val="Normal"/>
    <w:link w:val="BodyTextIndentChar"/>
    <w:rsid w:val="00E93DC1"/>
    <w:pPr>
      <w:tabs>
        <w:tab w:val="left" w:pos="360"/>
      </w:tabs>
    </w:pPr>
    <w:rPr>
      <w:b/>
      <w:i/>
      <w:sz w:val="28"/>
      <w:szCs w:val="20"/>
    </w:rPr>
  </w:style>
  <w:style w:type="character" w:customStyle="1" w:styleId="BodyTextIndentChar">
    <w:name w:val="Body Text Indent Char"/>
    <w:link w:val="BodyTextIndent"/>
    <w:locked/>
    <w:rsid w:val="00CB0802"/>
    <w:rPr>
      <w:rFonts w:ascii="Arial" w:hAnsi="Arial" w:cs="Times New Roman"/>
      <w:sz w:val="24"/>
      <w:szCs w:val="24"/>
      <w:lang w:val="en-GB"/>
    </w:rPr>
  </w:style>
  <w:style w:type="character" w:styleId="Hyperlink">
    <w:name w:val="Hyperlink"/>
    <w:uiPriority w:val="99"/>
    <w:rsid w:val="00E93DC1"/>
    <w:rPr>
      <w:rFonts w:cs="Times New Roman"/>
      <w:color w:val="0000FF"/>
      <w:u w:val="single"/>
    </w:rPr>
  </w:style>
  <w:style w:type="character" w:styleId="FollowedHyperlink">
    <w:name w:val="FollowedHyperlink"/>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Narrow" w:hAnsi="Arial Narrow"/>
      <w:i/>
      <w:iCs/>
    </w:rPr>
  </w:style>
  <w:style w:type="character" w:customStyle="1" w:styleId="BodyTextChar">
    <w:name w:val="Body Text Char"/>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after="120"/>
    </w:pPr>
    <w:rPr>
      <w:rFonts w:ascii="Arial Narrow" w:hAnsi="Arial Narrow"/>
    </w:rPr>
  </w:style>
  <w:style w:type="character" w:customStyle="1" w:styleId="BodyText2Char">
    <w:name w:val="Body Text 2 Char"/>
    <w:link w:val="BodyText2"/>
    <w:locked/>
    <w:rsid w:val="00CB0802"/>
    <w:rPr>
      <w:rFonts w:ascii="Arial" w:hAnsi="Arial" w:cs="Times New Roman"/>
      <w:sz w:val="24"/>
      <w:szCs w:val="24"/>
      <w:lang w:val="en-GB"/>
    </w:rPr>
  </w:style>
  <w:style w:type="character" w:customStyle="1" w:styleId="BalloonTextChar">
    <w:name w:val="Balloon Text Char"/>
    <w:link w:val="BalloonText"/>
    <w:uiPriority w:val="99"/>
    <w:semiHidden/>
    <w:locked/>
    <w:rsid w:val="00CB0802"/>
    <w:rPr>
      <w:rFonts w:cs="Times New Roman"/>
      <w:sz w:val="2"/>
      <w:lang w:val="en-GB"/>
    </w:rPr>
  </w:style>
  <w:style w:type="character" w:styleId="CommentReference">
    <w:name w:val="annotation reference"/>
    <w:rsid w:val="00EF6275"/>
    <w:rPr>
      <w:rFonts w:cs="Times New Roman"/>
      <w:sz w:val="16"/>
      <w:szCs w:val="16"/>
    </w:rPr>
  </w:style>
  <w:style w:type="paragraph" w:styleId="CommentText">
    <w:name w:val="annotation text"/>
    <w:basedOn w:val="Normal"/>
    <w:link w:val="CommentTextChar"/>
    <w:uiPriority w:val="99"/>
    <w:rsid w:val="00EF6275"/>
    <w:rPr>
      <w:szCs w:val="20"/>
    </w:rPr>
  </w:style>
  <w:style w:type="character" w:customStyle="1" w:styleId="CommentTextChar">
    <w:name w:val="Comment Text Char"/>
    <w:link w:val="CommentText"/>
    <w:uiPriority w:val="99"/>
    <w:locked/>
    <w:rsid w:val="00CB0802"/>
    <w:rPr>
      <w:rFonts w:ascii="Arial" w:hAnsi="Arial" w:cs="Times New Roman"/>
      <w:lang w:val="en-GB"/>
    </w:rPr>
  </w:style>
  <w:style w:type="paragraph" w:styleId="CommentSubject">
    <w:name w:val="annotation subject"/>
    <w:basedOn w:val="CommentText"/>
    <w:next w:val="CommentText"/>
    <w:link w:val="CommentSubjectChar"/>
    <w:rsid w:val="00EF6275"/>
    <w:rPr>
      <w:b/>
      <w:bCs/>
    </w:rPr>
  </w:style>
  <w:style w:type="character" w:customStyle="1" w:styleId="CommentSubjectChar">
    <w:name w:val="Comment Subject Char"/>
    <w:link w:val="CommentSubject"/>
    <w:locked/>
    <w:rsid w:val="00CB0802"/>
    <w:rPr>
      <w:rFonts w:ascii="Arial" w:hAnsi="Arial" w:cs="Times New Roman"/>
      <w:b/>
      <w:bCs/>
      <w:lang w:val="en-GB"/>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E663CF"/>
    <w:pPr>
      <w:spacing w:before="100" w:beforeAutospacing="1" w:after="100" w:afterAutospacing="1"/>
    </w:pPr>
    <w:rPr>
      <w:rFonts w:ascii="Times New Roman" w:hAnsi="Times New Roman"/>
      <w:sz w:val="24"/>
    </w:rPr>
  </w:style>
  <w:style w:type="character" w:styleId="Emphasis">
    <w:name w:val="Emphasis"/>
    <w:qFormat/>
    <w:rsid w:val="00F30150"/>
    <w:rPr>
      <w:rFonts w:cs="Times New Roman"/>
      <w:i/>
      <w:iC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
    <w:link w:val="CharCharCharCharCarChar"/>
    <w:uiPriority w:val="99"/>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
    <w:basedOn w:val="Normal"/>
    <w:link w:val="ListParagraphChar"/>
    <w:uiPriority w:val="34"/>
    <w:qFormat/>
    <w:rsid w:val="00DB520F"/>
    <w:pPr>
      <w:spacing w:after="0"/>
      <w:ind w:left="720"/>
      <w:jc w:val="left"/>
    </w:pPr>
    <w:rPr>
      <w:rFonts w:ascii="Times New Roman" w:hAnsi="Times New Roman"/>
      <w:sz w:val="24"/>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link w:val="Title"/>
    <w:locked/>
    <w:rsid w:val="00CB0802"/>
    <w:rPr>
      <w:rFonts w:ascii="Cambria" w:hAnsi="Cambria" w:cs="Times New Roman"/>
      <w:b/>
      <w:bCs/>
      <w:kern w:val="28"/>
      <w:sz w:val="32"/>
      <w:szCs w:val="32"/>
      <w:lang w:val="en-GB"/>
    </w:rPr>
  </w:style>
  <w:style w:type="paragraph" w:customStyle="1" w:styleId="CharCharChar1">
    <w:name w:val="Char Char Char1"/>
    <w:basedOn w:val="Normal"/>
    <w:uiPriority w:val="99"/>
    <w:rsid w:val="00340E23"/>
    <w:pPr>
      <w:spacing w:after="160" w:line="240" w:lineRule="exact"/>
      <w:jc w:val="left"/>
    </w:pPr>
    <w:rPr>
      <w:rFonts w:cs="Arial"/>
      <w:szCs w:val="20"/>
    </w:rPr>
  </w:style>
  <w:style w:type="paragraph" w:customStyle="1" w:styleId="JFHeading3">
    <w:name w:val="JF Heading 3"/>
    <w:basedOn w:val="Heading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lang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eastAsia="ja-JP"/>
    </w:rPr>
  </w:style>
  <w:style w:type="paragraph" w:customStyle="1" w:styleId="JFHeading1">
    <w:name w:val="JF Heading 1"/>
    <w:basedOn w:val="Heading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EndnoteText">
    <w:name w:val="endnote text"/>
    <w:aliases w:val=" Char"/>
    <w:basedOn w:val="Normal"/>
    <w:link w:val="EndnoteTextChar"/>
    <w:semiHidden/>
    <w:rsid w:val="00D37FAF"/>
    <w:pPr>
      <w:spacing w:after="0"/>
      <w:jc w:val="left"/>
    </w:pPr>
    <w:rPr>
      <w:rFonts w:eastAsia="MS Mincho"/>
      <w:szCs w:val="20"/>
      <w:lang w:eastAsia="ja-JP"/>
    </w:rPr>
  </w:style>
  <w:style w:type="character" w:customStyle="1" w:styleId="EndnoteTextChar">
    <w:name w:val="Endnote Text Char"/>
    <w:aliases w:val=" Char Char"/>
    <w:link w:val="EndnoteText"/>
    <w:semiHidden/>
    <w:locked/>
    <w:rsid w:val="00CB0802"/>
    <w:rPr>
      <w:rFonts w:ascii="Arial" w:hAnsi="Arial" w:cs="Times New Roman"/>
      <w:lang w:val="en-GB"/>
    </w:rPr>
  </w:style>
  <w:style w:type="character" w:styleId="EndnoteReference">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pPr>
      <w:spacing w:after="0"/>
    </w:pPr>
    <w:rPr>
      <w:rFonts w:ascii="Arial Narrow" w:hAnsi="Arial Narrow" w:cs="Arial"/>
      <w:szCs w:val="20"/>
    </w:rPr>
  </w:style>
  <w:style w:type="paragraph" w:customStyle="1" w:styleId="Paragraph">
    <w:name w:val="Paragraph"/>
    <w:basedOn w:val="Normal"/>
    <w:link w:val="ParagraphChar"/>
    <w:qFormat/>
    <w:rsid w:val="000D00F9"/>
    <w:pPr>
      <w:numPr>
        <w:numId w:val="2"/>
      </w:numPr>
      <w:spacing w:after="240"/>
      <w:jc w:val="left"/>
    </w:pPr>
    <w:rPr>
      <w:rFonts w:ascii="Times New Roman" w:hAnsi="Times New Roman" w:cs="Angsana New"/>
      <w:noProof/>
      <w:szCs w:val="22"/>
    </w:rPr>
  </w:style>
  <w:style w:type="character" w:customStyle="1" w:styleId="ParagraphChar">
    <w:name w:val="Paragraph Char"/>
    <w:link w:val="Paragraph"/>
    <w:rsid w:val="000D00F9"/>
    <w:rPr>
      <w:rFonts w:ascii="Times New Roman" w:hAnsi="Times New Roman" w:cs="Angsana New"/>
      <w:noProof/>
      <w:szCs w:val="22"/>
      <w:lang w:val="en-GB"/>
    </w:rPr>
  </w:style>
  <w:style w:type="paragraph" w:customStyle="1" w:styleId="Bullets">
    <w:name w:val="Bullets"/>
    <w:aliases w:val="Párrafo de lista,ADB paragraph numbering,Paragraphe de liste 1,Titulo 4,NULLETS 2,• List Paragraph"/>
    <w:basedOn w:val="Paragraph"/>
    <w:link w:val="BulletsChar"/>
    <w:qFormat/>
    <w:rsid w:val="000D00F9"/>
    <w:pPr>
      <w:numPr>
        <w:numId w:val="3"/>
      </w:numPr>
      <w:spacing w:before="60" w:after="0"/>
    </w:pPr>
  </w:style>
  <w:style w:type="character" w:customStyle="1" w:styleId="BulletsChar">
    <w:name w:val="Bullets Char"/>
    <w:link w:val="Bullets"/>
    <w:rsid w:val="000D00F9"/>
    <w:rPr>
      <w:rFonts w:ascii="Times New Roman" w:hAnsi="Times New Roman" w:cs="Angsana New"/>
      <w:noProof/>
      <w:szCs w:val="22"/>
      <w:lang w:val="en-GB"/>
    </w:rPr>
  </w:style>
  <w:style w:type="paragraph" w:styleId="TOC2">
    <w:name w:val="toc 2"/>
    <w:basedOn w:val="Normal"/>
    <w:next w:val="Normal"/>
    <w:autoRedefine/>
    <w:uiPriority w:val="39"/>
    <w:locked/>
    <w:rsid w:val="006C6ECA"/>
    <w:pPr>
      <w:tabs>
        <w:tab w:val="right" w:leader="dot" w:pos="9350"/>
      </w:tabs>
      <w:ind w:left="220"/>
    </w:pPr>
    <w:rPr>
      <w:rFonts w:cstheme="minorHAnsi"/>
      <w:noProof/>
    </w:rPr>
  </w:style>
  <w:style w:type="paragraph" w:styleId="TOC1">
    <w:name w:val="toc 1"/>
    <w:basedOn w:val="Normal"/>
    <w:next w:val="Normal"/>
    <w:autoRedefine/>
    <w:uiPriority w:val="39"/>
    <w:locked/>
    <w:rsid w:val="00577B0B"/>
    <w:pPr>
      <w:tabs>
        <w:tab w:val="left" w:pos="540"/>
        <w:tab w:val="right" w:leader="dot" w:pos="9304"/>
      </w:tabs>
    </w:pPr>
  </w:style>
  <w:style w:type="character" w:customStyle="1" w:styleId="Heading2Char">
    <w:name w:val="Heading 2 Char"/>
    <w:uiPriority w:val="9"/>
    <w:locked/>
    <w:rsid w:val="00720790"/>
    <w:rPr>
      <w:rFonts w:ascii="Cambria" w:hAnsi="Cambria" w:cs="Times New Roman"/>
      <w:b/>
      <w:bCs/>
      <w:i/>
      <w:iCs/>
      <w:sz w:val="28"/>
      <w:szCs w:val="28"/>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uiPriority w:val="99"/>
    <w:locked/>
    <w:rsid w:val="00720790"/>
    <w:rPr>
      <w:rFonts w:ascii="Arial" w:hAnsi="Arial" w:cs="Times New Roman"/>
      <w:lang w:val="en-GB"/>
    </w:rPr>
  </w:style>
  <w:style w:type="paragraph" w:customStyle="1" w:styleId="Normalbullets">
    <w:name w:val="Normal bullets"/>
    <w:basedOn w:val="Normal"/>
    <w:rsid w:val="003847E4"/>
    <w:pPr>
      <w:numPr>
        <w:numId w:val="4"/>
      </w:numPr>
    </w:pPr>
  </w:style>
  <w:style w:type="paragraph" w:customStyle="1" w:styleId="Text">
    <w:name w:val="Text"/>
    <w:basedOn w:val="Normal"/>
    <w:rsid w:val="00C26FEC"/>
    <w:pPr>
      <w:spacing w:before="240" w:after="0" w:line="252" w:lineRule="auto"/>
    </w:pPr>
    <w:rPr>
      <w:rFonts w:ascii="Times New Roman" w:hAnsi="Times New Roman"/>
      <w:szCs w:val="20"/>
    </w:rPr>
  </w:style>
  <w:style w:type="paragraph" w:customStyle="1" w:styleId="CharCharChar11">
    <w:name w:val="Char Char Char11"/>
    <w:basedOn w:val="Normal"/>
    <w:rsid w:val="00B27E19"/>
    <w:pPr>
      <w:spacing w:after="160" w:line="240" w:lineRule="exact"/>
      <w:jc w:val="left"/>
    </w:pPr>
    <w:rPr>
      <w:rFonts w:cs="Arial"/>
      <w:szCs w:val="20"/>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rPr>
  </w:style>
  <w:style w:type="paragraph" w:styleId="Caption">
    <w:name w:val="caption"/>
    <w:basedOn w:val="Normal"/>
    <w:next w:val="Normal"/>
    <w:qFormat/>
    <w:rsid w:val="0070606B"/>
    <w:pPr>
      <w:spacing w:after="0"/>
      <w:jc w:val="left"/>
    </w:pPr>
    <w:rPr>
      <w:rFonts w:ascii="Times New Roman" w:hAnsi="Times New Roman"/>
      <w:b/>
      <w:bCs/>
      <w:sz w:val="28"/>
    </w:rPr>
  </w:style>
  <w:style w:type="paragraph" w:customStyle="1" w:styleId="TableT">
    <w:name w:val="TableT"/>
    <w:basedOn w:val="Normal"/>
    <w:autoRedefine/>
    <w:rsid w:val="00550BAE"/>
    <w:pPr>
      <w:jc w:val="left"/>
    </w:pPr>
    <w:rPr>
      <w:rFonts w:ascii="Times New Roman" w:hAnsi="Times New Roman"/>
      <w:noProof/>
      <w:szCs w:val="20"/>
    </w:rPr>
  </w:style>
  <w:style w:type="paragraph" w:customStyle="1" w:styleId="ParaCharChar">
    <w:name w:val="Para Char Char"/>
    <w:basedOn w:val="Normal"/>
    <w:link w:val="ParaCharCharChar"/>
    <w:autoRedefine/>
    <w:rsid w:val="00597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Cs w:val="20"/>
    </w:rPr>
  </w:style>
  <w:style w:type="character" w:customStyle="1" w:styleId="ParaCharCharChar">
    <w:name w:val="Para Char Char Char"/>
    <w:link w:val="ParaCharChar"/>
    <w:rsid w:val="00597DEC"/>
    <w:rPr>
      <w:rFonts w:ascii="Calibri" w:eastAsia="Arial Unicode MS" w:hAnsi="Calibri" w:cs="Arial"/>
      <w:lang w:val="en-GB"/>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Heading8Char">
    <w:name w:val="Heading 8 Char"/>
    <w:link w:val="Heading8"/>
    <w:rsid w:val="000923DC"/>
    <w:rPr>
      <w:rFonts w:ascii="Calibri" w:eastAsia="Times New Roman" w:hAnsi="Calibri" w:cs="Times New Roman"/>
      <w:i/>
      <w:iCs/>
      <w:sz w:val="24"/>
      <w:szCs w:val="24"/>
      <w:lang w:val="en-GB"/>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rPr>
  </w:style>
  <w:style w:type="paragraph" w:customStyle="1" w:styleId="CharChar">
    <w:name w:val="Char Char Знак Знак"/>
    <w:basedOn w:val="Normal"/>
    <w:rsid w:val="00E61BB0"/>
    <w:pPr>
      <w:spacing w:after="160" w:line="240" w:lineRule="exact"/>
      <w:jc w:val="left"/>
    </w:pPr>
    <w:rPr>
      <w:rFonts w:ascii="Times New Roman" w:hAnsi="Times New Roman" w:cs="Arial"/>
      <w:szCs w:val="20"/>
      <w:lang w:val="de-CH" w:eastAsia="de-CH"/>
    </w:rPr>
  </w:style>
  <w:style w:type="paragraph" w:styleId="PlainText">
    <w:name w:val="Plain Text"/>
    <w:basedOn w:val="Normal"/>
    <w:link w:val="PlainTextChar"/>
    <w:uiPriority w:val="99"/>
    <w:unhideWhenUsed/>
    <w:rsid w:val="00FC1F80"/>
    <w:pPr>
      <w:spacing w:after="0"/>
      <w:jc w:val="left"/>
    </w:pPr>
    <w:rPr>
      <w:rFonts w:ascii="Consolas" w:eastAsia="Calibri" w:hAnsi="Consolas"/>
      <w:sz w:val="21"/>
      <w:szCs w:val="21"/>
    </w:rPr>
  </w:style>
  <w:style w:type="character" w:customStyle="1" w:styleId="PlainTextChar">
    <w:name w:val="Plain Text Char"/>
    <w:link w:val="PlainText"/>
    <w:uiPriority w:val="99"/>
    <w:rsid w:val="00FC1F80"/>
    <w:rPr>
      <w:rFonts w:ascii="Consolas" w:eastAsia="Calibri" w:hAnsi="Consolas"/>
      <w:sz w:val="21"/>
      <w:szCs w:val="21"/>
    </w:rPr>
  </w:style>
  <w:style w:type="paragraph" w:styleId="TOCHeading">
    <w:name w:val="TOC Heading"/>
    <w:basedOn w:val="Heading1"/>
    <w:next w:val="Normal"/>
    <w:uiPriority w:val="39"/>
    <w:unhideWhenUsed/>
    <w:qFormat/>
    <w:rsid w:val="006B67FA"/>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paragraph" w:styleId="NoSpacing">
    <w:name w:val="No Spacing"/>
    <w:link w:val="NoSpacingChar"/>
    <w:uiPriority w:val="1"/>
    <w:qFormat/>
    <w:rsid w:val="004C454A"/>
    <w:rPr>
      <w:rFonts w:ascii="Times" w:eastAsia="Times" w:hAnsi="Times"/>
      <w:sz w:val="24"/>
      <w:szCs w:val="24"/>
    </w:rPr>
  </w:style>
  <w:style w:type="character" w:customStyle="1" w:styleId="NoSpacingChar">
    <w:name w:val="No Spacing Char"/>
    <w:link w:val="NoSpacing"/>
    <w:uiPriority w:val="1"/>
    <w:rsid w:val="004C454A"/>
    <w:rPr>
      <w:rFonts w:ascii="Times" w:eastAsia="Times" w:hAnsi="Times"/>
      <w:sz w:val="24"/>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881F0F"/>
    <w:rPr>
      <w:sz w:val="24"/>
      <w:szCs w:val="24"/>
    </w:rPr>
  </w:style>
  <w:style w:type="character" w:customStyle="1" w:styleId="PlainTextChar1">
    <w:name w:val="Plain Text Char1"/>
    <w:uiPriority w:val="99"/>
    <w:locked/>
    <w:rsid w:val="00666A76"/>
    <w:rPr>
      <w:rFonts w:ascii="Consolas" w:eastAsia="Times New Roman" w:hAnsi="Consolas" w:cs="Times New Roman"/>
      <w:sz w:val="20"/>
      <w:szCs w:val="20"/>
    </w:rPr>
  </w:style>
  <w:style w:type="character" w:styleId="IntenseReference">
    <w:name w:val="Intense Reference"/>
    <w:uiPriority w:val="32"/>
    <w:qFormat/>
    <w:rsid w:val="00DA4B58"/>
    <w:rPr>
      <w:b/>
      <w:bCs/>
      <w:smallCaps/>
      <w:color w:val="C0504D"/>
      <w:spacing w:val="5"/>
      <w:u w:val="single"/>
    </w:rPr>
  </w:style>
  <w:style w:type="character" w:customStyle="1" w:styleId="StyleHeading2NotBoldChar">
    <w:name w:val="Style Heading 2 + Not Bold Char"/>
    <w:rsid w:val="00DA4B58"/>
    <w:rPr>
      <w:rFonts w:ascii="Book Antiqua" w:hAnsi="Book Antiqua" w:cs="Arial"/>
      <w:b/>
      <w:i/>
      <w:sz w:val="22"/>
      <w:szCs w:val="28"/>
      <w:lang w:val="en-US" w:eastAsia="ar-SA"/>
    </w:rPr>
  </w:style>
  <w:style w:type="character" w:customStyle="1" w:styleId="apple-converted-space">
    <w:name w:val="apple-converted-space"/>
    <w:basedOn w:val="DefaultParagraphFont"/>
    <w:rsid w:val="00655B9D"/>
  </w:style>
  <w:style w:type="paragraph" w:customStyle="1" w:styleId="Normal1">
    <w:name w:val="Normal1"/>
    <w:basedOn w:val="Normal"/>
    <w:next w:val="Normal"/>
    <w:rsid w:val="00901804"/>
    <w:pPr>
      <w:numPr>
        <w:numId w:val="6"/>
      </w:numPr>
      <w:spacing w:after="0"/>
      <w:jc w:val="left"/>
    </w:pPr>
    <w:rPr>
      <w:rFonts w:eastAsia="Times New Roman"/>
      <w:noProof/>
      <w:lang w:eastAsia="ja-JP"/>
    </w:rPr>
  </w:style>
  <w:style w:type="character" w:customStyle="1" w:styleId="ColorfulList-Accent1Char">
    <w:name w:val="Colorful List - Accent 1 Char"/>
    <w:link w:val="ColorfulList-Accent12"/>
    <w:uiPriority w:val="34"/>
    <w:locked/>
    <w:rsid w:val="00007B01"/>
  </w:style>
  <w:style w:type="paragraph" w:customStyle="1" w:styleId="ColorfulList-Accent12">
    <w:name w:val="Colorful List - Accent 12"/>
    <w:basedOn w:val="Normal"/>
    <w:link w:val="ColorfulList-Accent1Char"/>
    <w:uiPriority w:val="34"/>
    <w:rsid w:val="00007B01"/>
    <w:pPr>
      <w:spacing w:after="0"/>
      <w:ind w:left="720"/>
      <w:jc w:val="left"/>
    </w:pPr>
    <w:rPr>
      <w:szCs w:val="20"/>
    </w:rPr>
  </w:style>
  <w:style w:type="paragraph" w:styleId="TOC3">
    <w:name w:val="toc 3"/>
    <w:basedOn w:val="Normal"/>
    <w:next w:val="Normal"/>
    <w:autoRedefine/>
    <w:uiPriority w:val="39"/>
    <w:unhideWhenUsed/>
    <w:rsid w:val="006957EB"/>
    <w:pPr>
      <w:ind w:left="400"/>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872F38"/>
    <w:pPr>
      <w:spacing w:after="160" w:line="240" w:lineRule="exact"/>
    </w:pPr>
    <w:rPr>
      <w:rFonts w:ascii="Arial" w:hAnsi="Arial"/>
      <w:sz w:val="18"/>
      <w:szCs w:val="20"/>
      <w:vertAlign w:val="superscript"/>
    </w:rPr>
  </w:style>
  <w:style w:type="character" w:styleId="Mention">
    <w:name w:val="Mention"/>
    <w:uiPriority w:val="99"/>
    <w:semiHidden/>
    <w:unhideWhenUsed/>
    <w:rsid w:val="00254E0E"/>
    <w:rPr>
      <w:color w:val="2B579A"/>
      <w:shd w:val="clear" w:color="auto" w:fill="E6E6E6"/>
    </w:rPr>
  </w:style>
  <w:style w:type="paragraph" w:customStyle="1" w:styleId="xmsonormal">
    <w:name w:val="x_msonormal"/>
    <w:basedOn w:val="Normal"/>
    <w:rsid w:val="00564787"/>
    <w:pPr>
      <w:spacing w:before="100" w:beforeAutospacing="1" w:after="100" w:afterAutospacing="1"/>
      <w:jc w:val="left"/>
    </w:pPr>
    <w:rPr>
      <w:rFonts w:ascii="Times New Roman" w:eastAsia="Times New Roman" w:hAnsi="Times New Roman"/>
      <w:sz w:val="24"/>
      <w:lang w:val="es-ES" w:eastAsia="es-ES"/>
    </w:rPr>
  </w:style>
  <w:style w:type="character" w:styleId="UnresolvedMention">
    <w:name w:val="Unresolved Mention"/>
    <w:uiPriority w:val="99"/>
    <w:semiHidden/>
    <w:unhideWhenUsed/>
    <w:rsid w:val="00871632"/>
    <w:rPr>
      <w:color w:val="605E5C"/>
      <w:shd w:val="clear" w:color="auto" w:fill="E1DFDD"/>
    </w:rPr>
  </w:style>
  <w:style w:type="paragraph" w:customStyle="1" w:styleId="GEFQuestion">
    <w:name w:val="GEF Question"/>
    <w:basedOn w:val="Normal"/>
    <w:next w:val="Normal"/>
    <w:qFormat/>
    <w:rsid w:val="00E349BA"/>
    <w:pPr>
      <w:spacing w:after="0"/>
      <w:ind w:left="-720"/>
      <w:jc w:val="left"/>
    </w:pPr>
    <w:rPr>
      <w:rFonts w:ascii="Times New Roman" w:eastAsia="Times New Roman" w:hAnsi="Times New Roman"/>
      <w:sz w:val="22"/>
    </w:rPr>
  </w:style>
  <w:style w:type="character" w:customStyle="1" w:styleId="GEFFieldtoFilloutChar">
    <w:name w:val="GEF Field to Fill out Char"/>
    <w:link w:val="GEFFieldtoFillout"/>
    <w:locked/>
    <w:rsid w:val="00E349BA"/>
    <w:rPr>
      <w:rFonts w:ascii="Times New Roman" w:eastAsia="Times New Roman" w:hAnsi="Times New Roman"/>
      <w:color w:val="000000"/>
      <w:sz w:val="22"/>
      <w:szCs w:val="22"/>
    </w:rPr>
  </w:style>
  <w:style w:type="paragraph" w:customStyle="1" w:styleId="GEFFieldtoFillout">
    <w:name w:val="GEF Field to Fill out"/>
    <w:basedOn w:val="Normal"/>
    <w:link w:val="GEFFieldtoFilloutChar"/>
    <w:qFormat/>
    <w:rsid w:val="00E349BA"/>
    <w:pPr>
      <w:spacing w:after="0"/>
      <w:ind w:left="-720"/>
      <w:jc w:val="left"/>
    </w:pPr>
    <w:rPr>
      <w:rFonts w:ascii="Times New Roman" w:eastAsia="Times New Roman" w:hAnsi="Times New Roman"/>
      <w:color w:val="000000"/>
      <w:sz w:val="22"/>
      <w:szCs w:val="22"/>
    </w:rPr>
  </w:style>
  <w:style w:type="numbering" w:customStyle="1" w:styleId="NoList1">
    <w:name w:val="No List1"/>
    <w:next w:val="NoList"/>
    <w:uiPriority w:val="99"/>
    <w:semiHidden/>
    <w:unhideWhenUsed/>
    <w:rsid w:val="007F5638"/>
  </w:style>
  <w:style w:type="paragraph" w:customStyle="1" w:styleId="GEFTableHeading">
    <w:name w:val="GEF Table Heading"/>
    <w:basedOn w:val="Normal"/>
    <w:next w:val="Normal"/>
    <w:qFormat/>
    <w:rsid w:val="007F5638"/>
    <w:pPr>
      <w:spacing w:after="0"/>
      <w:ind w:left="-720"/>
      <w:jc w:val="left"/>
    </w:pPr>
    <w:rPr>
      <w:rFonts w:ascii="Times New Roman Bold" w:eastAsia="Times New Roman" w:hAnsi="Times New Roman Bold"/>
      <w:b/>
      <w:bCs/>
      <w:smallCaps/>
      <w:color w:val="000000"/>
      <w:sz w:val="22"/>
      <w:szCs w:val="22"/>
    </w:rPr>
  </w:style>
  <w:style w:type="paragraph" w:customStyle="1" w:styleId="GEFInstruction">
    <w:name w:val="GEF Instruction"/>
    <w:basedOn w:val="Normal"/>
    <w:next w:val="Normal"/>
    <w:qFormat/>
    <w:rsid w:val="007F5638"/>
    <w:pPr>
      <w:spacing w:after="0"/>
      <w:ind w:left="-540"/>
      <w:jc w:val="left"/>
    </w:pPr>
    <w:rPr>
      <w:rFonts w:ascii="Times New Roman" w:eastAsia="Times New Roman" w:hAnsi="Times New Roman"/>
    </w:rPr>
  </w:style>
  <w:style w:type="table" w:customStyle="1" w:styleId="TableGrid1">
    <w:name w:val="Table Grid1"/>
    <w:basedOn w:val="TableNormal"/>
    <w:next w:val="TableGrid"/>
    <w:uiPriority w:val="39"/>
    <w:rsid w:val="007F56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470E9A"/>
    <w:pPr>
      <w:spacing w:before="60" w:line="260" w:lineRule="exact"/>
      <w:ind w:left="720" w:hanging="360"/>
      <w:jc w:val="left"/>
    </w:pPr>
    <w:rPr>
      <w:rFonts w:eastAsia="Times New Roman"/>
      <w:lang w:eastAsia="ja-JP"/>
    </w:rPr>
  </w:style>
  <w:style w:type="character" w:customStyle="1" w:styleId="Heading6Char">
    <w:name w:val="Heading 6 Char"/>
    <w:basedOn w:val="DefaultParagraphFont"/>
    <w:link w:val="Heading6"/>
    <w:rsid w:val="00EC38D1"/>
    <w:rPr>
      <w:rFonts w:ascii="Times New Roman" w:eastAsia="Times New Roman" w:hAnsi="Times New Roman"/>
      <w:b/>
      <w:bCs/>
      <w:smallCaps/>
      <w:sz w:val="24"/>
      <w:szCs w:val="24"/>
      <w:lang w:val="x-none" w:eastAsia="x-none"/>
    </w:rPr>
  </w:style>
  <w:style w:type="character" w:customStyle="1" w:styleId="Heading7Char">
    <w:name w:val="Heading 7 Char"/>
    <w:basedOn w:val="DefaultParagraphFont"/>
    <w:link w:val="Heading7"/>
    <w:rsid w:val="00EC38D1"/>
    <w:rPr>
      <w:rFonts w:ascii="Times New Roman" w:eastAsia="Times New Roman" w:hAnsi="Times New Roman"/>
      <w:b/>
      <w:bCs/>
      <w:szCs w:val="24"/>
      <w:lang w:val="x-none" w:eastAsia="x-none"/>
    </w:rPr>
  </w:style>
  <w:style w:type="character" w:customStyle="1" w:styleId="Heading9Char">
    <w:name w:val="Heading 9 Char"/>
    <w:basedOn w:val="DefaultParagraphFont"/>
    <w:link w:val="Heading9"/>
    <w:rsid w:val="00EC38D1"/>
    <w:rPr>
      <w:rFonts w:ascii="Times New Roman" w:eastAsia="Times New Roman" w:hAnsi="Times New Roman"/>
      <w:b/>
      <w:bCs/>
      <w:sz w:val="24"/>
      <w:szCs w:val="24"/>
      <w:lang w:val="x-none" w:eastAsia="x-none"/>
    </w:rPr>
  </w:style>
  <w:style w:type="character" w:customStyle="1" w:styleId="Mention1">
    <w:name w:val="Mention1"/>
    <w:uiPriority w:val="99"/>
    <w:semiHidden/>
    <w:unhideWhenUsed/>
    <w:rsid w:val="00EC38D1"/>
    <w:rPr>
      <w:color w:val="2B579A"/>
      <w:shd w:val="clear" w:color="auto" w:fill="E6E6E6"/>
    </w:rPr>
  </w:style>
  <w:style w:type="paragraph" w:customStyle="1" w:styleId="Outline">
    <w:name w:val="Outline"/>
    <w:basedOn w:val="Normal"/>
    <w:rsid w:val="00EC38D1"/>
    <w:pPr>
      <w:spacing w:before="240" w:after="0"/>
      <w:jc w:val="left"/>
    </w:pPr>
    <w:rPr>
      <w:rFonts w:ascii="Times New Roman" w:eastAsia="Times New Roman" w:hAnsi="Times New Roman"/>
      <w:kern w:val="28"/>
      <w:sz w:val="24"/>
      <w:szCs w:val="20"/>
    </w:rPr>
  </w:style>
  <w:style w:type="paragraph" w:styleId="BodyTextIndent2">
    <w:name w:val="Body Text Indent 2"/>
    <w:basedOn w:val="Normal"/>
    <w:link w:val="BodyTextIndent2Char"/>
    <w:rsid w:val="00EC38D1"/>
    <w:pPr>
      <w:spacing w:after="0"/>
      <w:ind w:left="360"/>
      <w:jc w:val="left"/>
    </w:pPr>
    <w:rPr>
      <w:rFonts w:ascii="Times New Roman" w:eastAsia="Times New Roman" w:hAnsi="Times New Roman"/>
      <w:i/>
      <w:iCs/>
      <w:lang w:val="x-none" w:eastAsia="x-none"/>
    </w:rPr>
  </w:style>
  <w:style w:type="character" w:customStyle="1" w:styleId="BodyTextIndent2Char">
    <w:name w:val="Body Text Indent 2 Char"/>
    <w:basedOn w:val="DefaultParagraphFont"/>
    <w:link w:val="BodyTextIndent2"/>
    <w:rsid w:val="00EC38D1"/>
    <w:rPr>
      <w:rFonts w:ascii="Times New Roman" w:eastAsia="Times New Roman" w:hAnsi="Times New Roman"/>
      <w:i/>
      <w:iCs/>
      <w:szCs w:val="24"/>
      <w:lang w:val="x-none" w:eastAsia="x-none"/>
    </w:rPr>
  </w:style>
  <w:style w:type="paragraph" w:styleId="BodyTextIndent3">
    <w:name w:val="Body Text Indent 3"/>
    <w:basedOn w:val="Normal"/>
    <w:link w:val="BodyTextIndent3Char"/>
    <w:rsid w:val="00EC38D1"/>
    <w:pPr>
      <w:spacing w:after="0"/>
      <w:ind w:left="540"/>
      <w:jc w:val="left"/>
    </w:pPr>
    <w:rPr>
      <w:rFonts w:ascii="Times New Roman" w:eastAsia="Times New Roman" w:hAnsi="Times New Roman"/>
      <w:sz w:val="24"/>
      <w:lang w:val="x-none" w:eastAsia="x-none"/>
    </w:rPr>
  </w:style>
  <w:style w:type="character" w:customStyle="1" w:styleId="BodyTextIndent3Char">
    <w:name w:val="Body Text Indent 3 Char"/>
    <w:basedOn w:val="DefaultParagraphFont"/>
    <w:link w:val="BodyTextIndent3"/>
    <w:rsid w:val="00EC38D1"/>
    <w:rPr>
      <w:rFonts w:ascii="Times New Roman" w:eastAsia="Times New Roman" w:hAnsi="Times New Roman"/>
      <w:sz w:val="24"/>
      <w:szCs w:val="24"/>
      <w:lang w:val="x-none" w:eastAsia="x-none"/>
    </w:rPr>
  </w:style>
  <w:style w:type="paragraph" w:styleId="DocumentMap">
    <w:name w:val="Document Map"/>
    <w:basedOn w:val="Normal"/>
    <w:link w:val="DocumentMapChar"/>
    <w:semiHidden/>
    <w:rsid w:val="00EC38D1"/>
    <w:pPr>
      <w:shd w:val="clear" w:color="auto" w:fill="000080"/>
      <w:spacing w:after="0"/>
      <w:jc w:val="left"/>
    </w:pPr>
    <w:rPr>
      <w:rFonts w:ascii="Tahoma" w:eastAsia="Times New Roman" w:hAnsi="Tahoma"/>
      <w:szCs w:val="20"/>
      <w:lang w:val="x-none" w:eastAsia="x-none"/>
    </w:rPr>
  </w:style>
  <w:style w:type="character" w:customStyle="1" w:styleId="DocumentMapChar">
    <w:name w:val="Document Map Char"/>
    <w:basedOn w:val="DefaultParagraphFont"/>
    <w:link w:val="DocumentMap"/>
    <w:semiHidden/>
    <w:rsid w:val="00EC38D1"/>
    <w:rPr>
      <w:rFonts w:ascii="Tahoma" w:eastAsia="Times New Roman" w:hAnsi="Tahoma"/>
      <w:shd w:val="clear" w:color="auto" w:fill="000080"/>
      <w:lang w:val="x-none" w:eastAsia="x-none"/>
    </w:rPr>
  </w:style>
  <w:style w:type="paragraph" w:customStyle="1" w:styleId="MainParanoChapter">
    <w:name w:val="Main Para no Chapter #"/>
    <w:basedOn w:val="Normal"/>
    <w:link w:val="MainParanoChapterChar"/>
    <w:autoRedefine/>
    <w:uiPriority w:val="99"/>
    <w:qFormat/>
    <w:rsid w:val="00EC38D1"/>
    <w:pPr>
      <w:numPr>
        <w:numId w:val="26"/>
      </w:numPr>
      <w:spacing w:before="120" w:after="240"/>
      <w:ind w:left="0" w:firstLine="0"/>
      <w:jc w:val="left"/>
      <w:outlineLvl w:val="1"/>
    </w:pPr>
    <w:rPr>
      <w:rFonts w:ascii="Times New Roman" w:eastAsia="Times New Roman" w:hAnsi="Times New Roman"/>
      <w:color w:val="000000"/>
      <w:sz w:val="24"/>
      <w:lang w:val="x-none" w:eastAsia="x-none"/>
    </w:rPr>
  </w:style>
  <w:style w:type="character" w:customStyle="1" w:styleId="MainParanoChapterChar">
    <w:name w:val="Main Para no Chapter # Char"/>
    <w:link w:val="MainParanoChapter"/>
    <w:uiPriority w:val="99"/>
    <w:locked/>
    <w:rsid w:val="00EC38D1"/>
    <w:rPr>
      <w:rFonts w:ascii="Times New Roman" w:eastAsia="Times New Roman" w:hAnsi="Times New Roman"/>
      <w:color w:val="000000"/>
      <w:sz w:val="24"/>
      <w:szCs w:val="24"/>
      <w:lang w:val="x-none" w:eastAsia="x-none"/>
    </w:rPr>
  </w:style>
  <w:style w:type="paragraph" w:styleId="z-TopofForm">
    <w:name w:val="HTML Top of Form"/>
    <w:basedOn w:val="Normal"/>
    <w:next w:val="Normal"/>
    <w:link w:val="z-TopofFormChar"/>
    <w:hidden/>
    <w:rsid w:val="00EC38D1"/>
    <w:pPr>
      <w:pBdr>
        <w:bottom w:val="single" w:sz="6" w:space="1" w:color="auto"/>
      </w:pBdr>
      <w:spacing w:after="0"/>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rsid w:val="00EC38D1"/>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rsid w:val="00EC38D1"/>
    <w:pPr>
      <w:pBdr>
        <w:top w:val="single" w:sz="6" w:space="1" w:color="auto"/>
      </w:pBdr>
      <w:spacing w:after="0"/>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rsid w:val="00EC38D1"/>
    <w:rPr>
      <w:rFonts w:ascii="Arial" w:eastAsia="Times New Roman" w:hAnsi="Arial"/>
      <w:vanish/>
      <w:sz w:val="16"/>
      <w:szCs w:val="16"/>
      <w:lang w:val="x-none" w:eastAsia="x-none"/>
    </w:rPr>
  </w:style>
  <w:style w:type="numbering" w:customStyle="1" w:styleId="NoList2">
    <w:name w:val="No List2"/>
    <w:next w:val="NoList"/>
    <w:uiPriority w:val="99"/>
    <w:semiHidden/>
    <w:unhideWhenUsed/>
    <w:rsid w:val="00EC38D1"/>
  </w:style>
  <w:style w:type="numbering" w:customStyle="1" w:styleId="NoList11">
    <w:name w:val="No List11"/>
    <w:next w:val="NoList"/>
    <w:semiHidden/>
    <w:rsid w:val="00EC38D1"/>
  </w:style>
  <w:style w:type="paragraph" w:customStyle="1" w:styleId="GEFPartHeading">
    <w:name w:val="GEF Part Heading"/>
    <w:basedOn w:val="ListParagraph"/>
    <w:qFormat/>
    <w:rsid w:val="00EC38D1"/>
    <w:pPr>
      <w:snapToGrid w:val="0"/>
      <w:spacing w:before="120" w:after="120"/>
      <w:ind w:left="-720"/>
      <w:outlineLvl w:val="0"/>
    </w:pPr>
    <w:rPr>
      <w:rFonts w:ascii="Times New Roman Bold" w:eastAsia="Times New Roman" w:hAnsi="Times New Roman Bold"/>
      <w:b/>
      <w:caps/>
      <w:noProof/>
      <w:color w:val="000000"/>
      <w:sz w:val="22"/>
      <w:szCs w:val="22"/>
      <w:u w:val="single"/>
    </w:rPr>
  </w:style>
  <w:style w:type="paragraph" w:customStyle="1" w:styleId="NumberedParasPIF">
    <w:name w:val="Numbered Paras PIF"/>
    <w:basedOn w:val="Normal"/>
    <w:qFormat/>
    <w:rsid w:val="00EC38D1"/>
    <w:pPr>
      <w:numPr>
        <w:numId w:val="27"/>
      </w:numPr>
      <w:spacing w:after="100"/>
    </w:pPr>
    <w:rPr>
      <w:rFonts w:ascii="Times New Roman" w:eastAsia="Times New Roman" w:hAnsi="Times New Roman"/>
      <w:szCs w:val="18"/>
    </w:rPr>
  </w:style>
  <w:style w:type="paragraph" w:styleId="Revision">
    <w:name w:val="Revision"/>
    <w:hidden/>
    <w:uiPriority w:val="99"/>
    <w:semiHidden/>
    <w:rsid w:val="00EC38D1"/>
    <w:rPr>
      <w:szCs w:val="24"/>
    </w:rPr>
  </w:style>
  <w:style w:type="table" w:customStyle="1" w:styleId="TableGrid2">
    <w:name w:val="Table Grid2"/>
    <w:basedOn w:val="TableNormal"/>
    <w:next w:val="TableGrid"/>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C38D1"/>
  </w:style>
  <w:style w:type="character" w:customStyle="1" w:styleId="shorttext">
    <w:name w:val="short_text"/>
    <w:rsid w:val="00EC38D1"/>
  </w:style>
  <w:style w:type="numbering" w:customStyle="1" w:styleId="NoList3">
    <w:name w:val="No List3"/>
    <w:next w:val="NoList"/>
    <w:uiPriority w:val="99"/>
    <w:semiHidden/>
    <w:unhideWhenUsed/>
    <w:rsid w:val="00EC38D1"/>
  </w:style>
  <w:style w:type="paragraph" w:customStyle="1" w:styleId="BulletText1">
    <w:name w:val="Bullet Text 1"/>
    <w:basedOn w:val="Normal"/>
    <w:rsid w:val="00AB6F3E"/>
    <w:pPr>
      <w:tabs>
        <w:tab w:val="num" w:pos="720"/>
      </w:tabs>
      <w:spacing w:after="0"/>
      <w:ind w:left="720" w:hanging="720"/>
      <w:jc w:val="left"/>
    </w:pPr>
    <w:rPr>
      <w:rFonts w:ascii="Times New Roman" w:eastAsia="Times New Roman" w:hAnsi="Times New Roman"/>
      <w:color w:val="000000"/>
      <w:sz w:val="24"/>
      <w:szCs w:val="20"/>
    </w:rPr>
  </w:style>
  <w:style w:type="character" w:customStyle="1" w:styleId="body1">
    <w:name w:val="body1"/>
    <w:rsid w:val="00AB6F3E"/>
    <w:rPr>
      <w:rFonts w:ascii="Arial" w:hAnsi="Arial" w:cs="Arial" w:hint="default"/>
      <w:sz w:val="16"/>
      <w:szCs w:val="16"/>
    </w:rPr>
  </w:style>
  <w:style w:type="paragraph" w:styleId="HTMLPreformatted">
    <w:name w:val="HTML Preformatted"/>
    <w:basedOn w:val="Normal"/>
    <w:link w:val="HTMLPreformattedChar"/>
    <w:unhideWhenUsed/>
    <w:rsid w:val="00AB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eastAsia="Times New Roman" w:hAnsi="Consolas" w:cs="Consolas"/>
      <w:szCs w:val="20"/>
    </w:rPr>
  </w:style>
  <w:style w:type="character" w:customStyle="1" w:styleId="HTMLPreformattedChar">
    <w:name w:val="HTML Preformatted Char"/>
    <w:basedOn w:val="DefaultParagraphFont"/>
    <w:link w:val="HTMLPreformatted"/>
    <w:rsid w:val="00AB6F3E"/>
    <w:rPr>
      <w:rFonts w:ascii="Consolas" w:eastAsia="Times New Roman" w:hAnsi="Consolas" w:cs="Consolas"/>
      <w:lang w:val="en-GB"/>
    </w:rPr>
  </w:style>
  <w:style w:type="paragraph" w:customStyle="1" w:styleId="TableParagraph">
    <w:name w:val="Table Paragraph"/>
    <w:basedOn w:val="Normal"/>
    <w:uiPriority w:val="1"/>
    <w:qFormat/>
    <w:rsid w:val="00AB6F3E"/>
    <w:pPr>
      <w:widowControl w:val="0"/>
      <w:autoSpaceDE w:val="0"/>
      <w:autoSpaceDN w:val="0"/>
      <w:spacing w:after="0"/>
      <w:jc w:val="left"/>
    </w:pPr>
    <w:rPr>
      <w:rFonts w:ascii="Times New Roman" w:eastAsia="Times New Roman" w:hAnsi="Times New Roman"/>
      <w:sz w:val="22"/>
      <w:szCs w:val="22"/>
      <w:lang w:bidi="en-US"/>
    </w:rPr>
  </w:style>
  <w:style w:type="paragraph" w:customStyle="1" w:styleId="xmsolistparagraph">
    <w:name w:val="x_msolistparagraph"/>
    <w:basedOn w:val="Normal"/>
    <w:rsid w:val="00AB6F3E"/>
    <w:pPr>
      <w:spacing w:before="100" w:beforeAutospacing="1" w:after="100" w:afterAutospacing="1"/>
      <w:jc w:val="left"/>
    </w:pPr>
    <w:rPr>
      <w:rFonts w:eastAsia="Calibri" w:cs="Calibri"/>
      <w:sz w:val="22"/>
      <w:szCs w:val="22"/>
    </w:rPr>
  </w:style>
  <w:style w:type="character" w:styleId="SubtleEmphasis">
    <w:name w:val="Subtle Emphasis"/>
    <w:uiPriority w:val="19"/>
    <w:qFormat/>
    <w:rsid w:val="009F2F1D"/>
    <w:rPr>
      <w:i/>
      <w:iCs/>
      <w:color w:val="808080"/>
    </w:rPr>
  </w:style>
  <w:style w:type="paragraph" w:customStyle="1" w:styleId="paragraph0">
    <w:name w:val="paragraph"/>
    <w:basedOn w:val="Normal"/>
    <w:rsid w:val="00DD0F56"/>
    <w:pPr>
      <w:spacing w:before="100" w:beforeAutospacing="1" w:after="100" w:afterAutospacing="1"/>
      <w:jc w:val="left"/>
    </w:pPr>
    <w:rPr>
      <w:rFonts w:eastAsiaTheme="minorHAnsi" w:cs="Calibri"/>
      <w:sz w:val="22"/>
      <w:szCs w:val="22"/>
    </w:rPr>
  </w:style>
  <w:style w:type="character" w:customStyle="1" w:styleId="normaltextrun">
    <w:name w:val="normaltextrun"/>
    <w:basedOn w:val="DefaultParagraphFont"/>
    <w:rsid w:val="00DD0F56"/>
  </w:style>
  <w:style w:type="character" w:customStyle="1" w:styleId="eop">
    <w:name w:val="eop"/>
    <w:basedOn w:val="DefaultParagraphFont"/>
    <w:rsid w:val="00DD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3237673">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103554">
      <w:bodyDiv w:val="1"/>
      <w:marLeft w:val="0"/>
      <w:marRight w:val="0"/>
      <w:marTop w:val="0"/>
      <w:marBottom w:val="0"/>
      <w:divBdr>
        <w:top w:val="none" w:sz="0" w:space="0" w:color="auto"/>
        <w:left w:val="none" w:sz="0" w:space="0" w:color="auto"/>
        <w:bottom w:val="none" w:sz="0" w:space="0" w:color="auto"/>
        <w:right w:val="none" w:sz="0" w:space="0" w:color="auto"/>
      </w:divBdr>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387413365">
      <w:bodyDiv w:val="1"/>
      <w:marLeft w:val="0"/>
      <w:marRight w:val="0"/>
      <w:marTop w:val="0"/>
      <w:marBottom w:val="0"/>
      <w:divBdr>
        <w:top w:val="none" w:sz="0" w:space="0" w:color="auto"/>
        <w:left w:val="none" w:sz="0" w:space="0" w:color="auto"/>
        <w:bottom w:val="none" w:sz="0" w:space="0" w:color="auto"/>
        <w:right w:val="none" w:sz="0" w:space="0" w:color="auto"/>
      </w:divBdr>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1141121">
      <w:bodyDiv w:val="1"/>
      <w:marLeft w:val="0"/>
      <w:marRight w:val="0"/>
      <w:marTop w:val="0"/>
      <w:marBottom w:val="0"/>
      <w:divBdr>
        <w:top w:val="none" w:sz="0" w:space="0" w:color="auto"/>
        <w:left w:val="none" w:sz="0" w:space="0" w:color="auto"/>
        <w:bottom w:val="none" w:sz="0" w:space="0" w:color="auto"/>
        <w:right w:val="none" w:sz="0" w:space="0" w:color="auto"/>
      </w:divBdr>
      <w:divsChild>
        <w:div w:id="276106700">
          <w:marLeft w:val="446"/>
          <w:marRight w:val="0"/>
          <w:marTop w:val="0"/>
          <w:marBottom w:val="0"/>
          <w:divBdr>
            <w:top w:val="none" w:sz="0" w:space="0" w:color="auto"/>
            <w:left w:val="none" w:sz="0" w:space="0" w:color="auto"/>
            <w:bottom w:val="none" w:sz="0" w:space="0" w:color="auto"/>
            <w:right w:val="none" w:sz="0" w:space="0" w:color="auto"/>
          </w:divBdr>
        </w:div>
        <w:div w:id="402602391">
          <w:marLeft w:val="446"/>
          <w:marRight w:val="0"/>
          <w:marTop w:val="0"/>
          <w:marBottom w:val="0"/>
          <w:divBdr>
            <w:top w:val="none" w:sz="0" w:space="0" w:color="auto"/>
            <w:left w:val="none" w:sz="0" w:space="0" w:color="auto"/>
            <w:bottom w:val="none" w:sz="0" w:space="0" w:color="auto"/>
            <w:right w:val="none" w:sz="0" w:space="0" w:color="auto"/>
          </w:divBdr>
        </w:div>
        <w:div w:id="980890985">
          <w:marLeft w:val="446"/>
          <w:marRight w:val="0"/>
          <w:marTop w:val="0"/>
          <w:marBottom w:val="0"/>
          <w:divBdr>
            <w:top w:val="none" w:sz="0" w:space="0" w:color="auto"/>
            <w:left w:val="none" w:sz="0" w:space="0" w:color="auto"/>
            <w:bottom w:val="none" w:sz="0" w:space="0" w:color="auto"/>
            <w:right w:val="none" w:sz="0" w:space="0" w:color="auto"/>
          </w:divBdr>
        </w:div>
        <w:div w:id="1566910374">
          <w:marLeft w:val="446"/>
          <w:marRight w:val="0"/>
          <w:marTop w:val="0"/>
          <w:marBottom w:val="0"/>
          <w:divBdr>
            <w:top w:val="none" w:sz="0" w:space="0" w:color="auto"/>
            <w:left w:val="none" w:sz="0" w:space="0" w:color="auto"/>
            <w:bottom w:val="none" w:sz="0" w:space="0" w:color="auto"/>
            <w:right w:val="none" w:sz="0" w:space="0" w:color="auto"/>
          </w:divBdr>
        </w:div>
      </w:divsChild>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490172939">
      <w:bodyDiv w:val="1"/>
      <w:marLeft w:val="0"/>
      <w:marRight w:val="0"/>
      <w:marTop w:val="0"/>
      <w:marBottom w:val="0"/>
      <w:divBdr>
        <w:top w:val="none" w:sz="0" w:space="0" w:color="auto"/>
        <w:left w:val="none" w:sz="0" w:space="0" w:color="auto"/>
        <w:bottom w:val="none" w:sz="0" w:space="0" w:color="auto"/>
        <w:right w:val="none" w:sz="0" w:space="0" w:color="auto"/>
      </w:divBdr>
    </w:div>
    <w:div w:id="493254710">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sChild>
        <w:div w:id="96028367">
          <w:marLeft w:val="0"/>
          <w:marRight w:val="0"/>
          <w:marTop w:val="0"/>
          <w:marBottom w:val="0"/>
          <w:divBdr>
            <w:top w:val="none" w:sz="0" w:space="0" w:color="auto"/>
            <w:left w:val="none" w:sz="0" w:space="0" w:color="auto"/>
            <w:bottom w:val="none" w:sz="0" w:space="0" w:color="auto"/>
            <w:right w:val="none" w:sz="0" w:space="0" w:color="auto"/>
          </w:divBdr>
        </w:div>
        <w:div w:id="910431587">
          <w:marLeft w:val="0"/>
          <w:marRight w:val="0"/>
          <w:marTop w:val="0"/>
          <w:marBottom w:val="0"/>
          <w:divBdr>
            <w:top w:val="none" w:sz="0" w:space="0" w:color="auto"/>
            <w:left w:val="none" w:sz="0" w:space="0" w:color="auto"/>
            <w:bottom w:val="none" w:sz="0" w:space="0" w:color="auto"/>
            <w:right w:val="none" w:sz="0" w:space="0" w:color="auto"/>
          </w:divBdr>
        </w:div>
      </w:divsChild>
    </w:div>
    <w:div w:id="499076296">
      <w:bodyDiv w:val="1"/>
      <w:marLeft w:val="0"/>
      <w:marRight w:val="0"/>
      <w:marTop w:val="0"/>
      <w:marBottom w:val="0"/>
      <w:divBdr>
        <w:top w:val="none" w:sz="0" w:space="0" w:color="auto"/>
        <w:left w:val="none" w:sz="0" w:space="0" w:color="auto"/>
        <w:bottom w:val="none" w:sz="0" w:space="0" w:color="auto"/>
        <w:right w:val="none" w:sz="0" w:space="0" w:color="auto"/>
      </w:divBdr>
      <w:divsChild>
        <w:div w:id="205334594">
          <w:marLeft w:val="806"/>
          <w:marRight w:val="0"/>
          <w:marTop w:val="0"/>
          <w:marBottom w:val="200"/>
          <w:divBdr>
            <w:top w:val="none" w:sz="0" w:space="0" w:color="auto"/>
            <w:left w:val="none" w:sz="0" w:space="0" w:color="auto"/>
            <w:bottom w:val="none" w:sz="0" w:space="0" w:color="auto"/>
            <w:right w:val="none" w:sz="0" w:space="0" w:color="auto"/>
          </w:divBdr>
        </w:div>
        <w:div w:id="912199172">
          <w:marLeft w:val="1166"/>
          <w:marRight w:val="0"/>
          <w:marTop w:val="0"/>
          <w:marBottom w:val="200"/>
          <w:divBdr>
            <w:top w:val="none" w:sz="0" w:space="0" w:color="auto"/>
            <w:left w:val="none" w:sz="0" w:space="0" w:color="auto"/>
            <w:bottom w:val="none" w:sz="0" w:space="0" w:color="auto"/>
            <w:right w:val="none" w:sz="0" w:space="0" w:color="auto"/>
          </w:divBdr>
        </w:div>
        <w:div w:id="739911977">
          <w:marLeft w:val="1166"/>
          <w:marRight w:val="0"/>
          <w:marTop w:val="0"/>
          <w:marBottom w:val="200"/>
          <w:divBdr>
            <w:top w:val="none" w:sz="0" w:space="0" w:color="auto"/>
            <w:left w:val="none" w:sz="0" w:space="0" w:color="auto"/>
            <w:bottom w:val="none" w:sz="0" w:space="0" w:color="auto"/>
            <w:right w:val="none" w:sz="0" w:space="0" w:color="auto"/>
          </w:divBdr>
        </w:div>
        <w:div w:id="143357671">
          <w:marLeft w:val="1166"/>
          <w:marRight w:val="0"/>
          <w:marTop w:val="0"/>
          <w:marBottom w:val="200"/>
          <w:divBdr>
            <w:top w:val="none" w:sz="0" w:space="0" w:color="auto"/>
            <w:left w:val="none" w:sz="0" w:space="0" w:color="auto"/>
            <w:bottom w:val="none" w:sz="0" w:space="0" w:color="auto"/>
            <w:right w:val="none" w:sz="0" w:space="0" w:color="auto"/>
          </w:divBdr>
        </w:div>
      </w:divsChild>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657080796">
      <w:bodyDiv w:val="1"/>
      <w:marLeft w:val="0"/>
      <w:marRight w:val="0"/>
      <w:marTop w:val="0"/>
      <w:marBottom w:val="0"/>
      <w:divBdr>
        <w:top w:val="none" w:sz="0" w:space="0" w:color="auto"/>
        <w:left w:val="none" w:sz="0" w:space="0" w:color="auto"/>
        <w:bottom w:val="none" w:sz="0" w:space="0" w:color="auto"/>
        <w:right w:val="none" w:sz="0" w:space="0" w:color="auto"/>
      </w:divBdr>
    </w:div>
    <w:div w:id="71238823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23600151">
      <w:bodyDiv w:val="1"/>
      <w:marLeft w:val="0"/>
      <w:marRight w:val="0"/>
      <w:marTop w:val="0"/>
      <w:marBottom w:val="0"/>
      <w:divBdr>
        <w:top w:val="none" w:sz="0" w:space="0" w:color="auto"/>
        <w:left w:val="none" w:sz="0" w:space="0" w:color="auto"/>
        <w:bottom w:val="none" w:sz="0" w:space="0" w:color="auto"/>
        <w:right w:val="none" w:sz="0" w:space="0" w:color="auto"/>
      </w:divBdr>
    </w:div>
    <w:div w:id="735129098">
      <w:bodyDiv w:val="1"/>
      <w:marLeft w:val="0"/>
      <w:marRight w:val="0"/>
      <w:marTop w:val="0"/>
      <w:marBottom w:val="0"/>
      <w:divBdr>
        <w:top w:val="none" w:sz="0" w:space="0" w:color="auto"/>
        <w:left w:val="none" w:sz="0" w:space="0" w:color="auto"/>
        <w:bottom w:val="none" w:sz="0" w:space="0" w:color="auto"/>
        <w:right w:val="none" w:sz="0" w:space="0" w:color="auto"/>
      </w:divBdr>
    </w:div>
    <w:div w:id="758404727">
      <w:bodyDiv w:val="1"/>
      <w:marLeft w:val="0"/>
      <w:marRight w:val="0"/>
      <w:marTop w:val="0"/>
      <w:marBottom w:val="0"/>
      <w:divBdr>
        <w:top w:val="none" w:sz="0" w:space="0" w:color="auto"/>
        <w:left w:val="none" w:sz="0" w:space="0" w:color="auto"/>
        <w:bottom w:val="none" w:sz="0" w:space="0" w:color="auto"/>
        <w:right w:val="none" w:sz="0" w:space="0" w:color="auto"/>
      </w:divBdr>
    </w:div>
    <w:div w:id="761871919">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2810161">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34558066">
      <w:bodyDiv w:val="1"/>
      <w:marLeft w:val="0"/>
      <w:marRight w:val="0"/>
      <w:marTop w:val="0"/>
      <w:marBottom w:val="0"/>
      <w:divBdr>
        <w:top w:val="none" w:sz="0" w:space="0" w:color="auto"/>
        <w:left w:val="none" w:sz="0" w:space="0" w:color="auto"/>
        <w:bottom w:val="none" w:sz="0" w:space="0" w:color="auto"/>
        <w:right w:val="none" w:sz="0" w:space="0" w:color="auto"/>
      </w:divBdr>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12488060">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25330629">
      <w:bodyDiv w:val="1"/>
      <w:marLeft w:val="0"/>
      <w:marRight w:val="0"/>
      <w:marTop w:val="0"/>
      <w:marBottom w:val="0"/>
      <w:divBdr>
        <w:top w:val="none" w:sz="0" w:space="0" w:color="auto"/>
        <w:left w:val="none" w:sz="0" w:space="0" w:color="auto"/>
        <w:bottom w:val="none" w:sz="0" w:space="0" w:color="auto"/>
        <w:right w:val="none" w:sz="0" w:space="0" w:color="auto"/>
      </w:divBdr>
    </w:div>
    <w:div w:id="1247955255">
      <w:bodyDiv w:val="1"/>
      <w:marLeft w:val="0"/>
      <w:marRight w:val="0"/>
      <w:marTop w:val="0"/>
      <w:marBottom w:val="0"/>
      <w:divBdr>
        <w:top w:val="none" w:sz="0" w:space="0" w:color="auto"/>
        <w:left w:val="none" w:sz="0" w:space="0" w:color="auto"/>
        <w:bottom w:val="none" w:sz="0" w:space="0" w:color="auto"/>
        <w:right w:val="none" w:sz="0" w:space="0" w:color="auto"/>
      </w:divBdr>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150846">
      <w:bodyDiv w:val="1"/>
      <w:marLeft w:val="0"/>
      <w:marRight w:val="0"/>
      <w:marTop w:val="0"/>
      <w:marBottom w:val="0"/>
      <w:divBdr>
        <w:top w:val="none" w:sz="0" w:space="0" w:color="auto"/>
        <w:left w:val="none" w:sz="0" w:space="0" w:color="auto"/>
        <w:bottom w:val="none" w:sz="0" w:space="0" w:color="auto"/>
        <w:right w:val="none" w:sz="0" w:space="0" w:color="auto"/>
      </w:divBdr>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17284991">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3594000">
      <w:bodyDiv w:val="1"/>
      <w:marLeft w:val="0"/>
      <w:marRight w:val="0"/>
      <w:marTop w:val="0"/>
      <w:marBottom w:val="0"/>
      <w:divBdr>
        <w:top w:val="none" w:sz="0" w:space="0" w:color="auto"/>
        <w:left w:val="none" w:sz="0" w:space="0" w:color="auto"/>
        <w:bottom w:val="none" w:sz="0" w:space="0" w:color="auto"/>
        <w:right w:val="none" w:sz="0" w:space="0" w:color="auto"/>
      </w:divBdr>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61220419">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15463200">
      <w:bodyDiv w:val="1"/>
      <w:marLeft w:val="0"/>
      <w:marRight w:val="0"/>
      <w:marTop w:val="0"/>
      <w:marBottom w:val="0"/>
      <w:divBdr>
        <w:top w:val="none" w:sz="0" w:space="0" w:color="auto"/>
        <w:left w:val="none" w:sz="0" w:space="0" w:color="auto"/>
        <w:bottom w:val="none" w:sz="0" w:space="0" w:color="auto"/>
        <w:right w:val="none" w:sz="0" w:space="0" w:color="auto"/>
      </w:divBdr>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581914691">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33515365">
      <w:bodyDiv w:val="1"/>
      <w:marLeft w:val="0"/>
      <w:marRight w:val="0"/>
      <w:marTop w:val="0"/>
      <w:marBottom w:val="0"/>
      <w:divBdr>
        <w:top w:val="none" w:sz="0" w:space="0" w:color="auto"/>
        <w:left w:val="none" w:sz="0" w:space="0" w:color="auto"/>
        <w:bottom w:val="none" w:sz="0" w:space="0" w:color="auto"/>
        <w:right w:val="none" w:sz="0" w:space="0" w:color="auto"/>
      </w:divBdr>
    </w:div>
    <w:div w:id="1640577304">
      <w:bodyDiv w:val="1"/>
      <w:marLeft w:val="0"/>
      <w:marRight w:val="0"/>
      <w:marTop w:val="0"/>
      <w:marBottom w:val="0"/>
      <w:divBdr>
        <w:top w:val="none" w:sz="0" w:space="0" w:color="auto"/>
        <w:left w:val="none" w:sz="0" w:space="0" w:color="auto"/>
        <w:bottom w:val="none" w:sz="0" w:space="0" w:color="auto"/>
        <w:right w:val="none" w:sz="0" w:space="0" w:color="auto"/>
      </w:divBdr>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66589668">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34162452">
      <w:bodyDiv w:val="1"/>
      <w:marLeft w:val="0"/>
      <w:marRight w:val="0"/>
      <w:marTop w:val="0"/>
      <w:marBottom w:val="0"/>
      <w:divBdr>
        <w:top w:val="none" w:sz="0" w:space="0" w:color="auto"/>
        <w:left w:val="none" w:sz="0" w:space="0" w:color="auto"/>
        <w:bottom w:val="none" w:sz="0" w:space="0" w:color="auto"/>
        <w:right w:val="none" w:sz="0" w:space="0" w:color="auto"/>
      </w:divBdr>
    </w:div>
    <w:div w:id="1734890787">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667389">
      <w:bodyDiv w:val="1"/>
      <w:marLeft w:val="0"/>
      <w:marRight w:val="0"/>
      <w:marTop w:val="0"/>
      <w:marBottom w:val="0"/>
      <w:divBdr>
        <w:top w:val="none" w:sz="0" w:space="0" w:color="auto"/>
        <w:left w:val="none" w:sz="0" w:space="0" w:color="auto"/>
        <w:bottom w:val="none" w:sz="0" w:space="0" w:color="auto"/>
        <w:right w:val="none" w:sz="0" w:space="0" w:color="auto"/>
      </w:divBdr>
    </w:div>
    <w:div w:id="1778717030">
      <w:bodyDiv w:val="1"/>
      <w:marLeft w:val="0"/>
      <w:marRight w:val="0"/>
      <w:marTop w:val="0"/>
      <w:marBottom w:val="0"/>
      <w:divBdr>
        <w:top w:val="none" w:sz="0" w:space="0" w:color="auto"/>
        <w:left w:val="none" w:sz="0" w:space="0" w:color="auto"/>
        <w:bottom w:val="none" w:sz="0" w:space="0" w:color="auto"/>
        <w:right w:val="none" w:sz="0" w:space="0" w:color="auto"/>
      </w:divBdr>
    </w:div>
    <w:div w:id="1799177773">
      <w:bodyDiv w:val="1"/>
      <w:marLeft w:val="0"/>
      <w:marRight w:val="0"/>
      <w:marTop w:val="0"/>
      <w:marBottom w:val="0"/>
      <w:divBdr>
        <w:top w:val="none" w:sz="0" w:space="0" w:color="auto"/>
        <w:left w:val="none" w:sz="0" w:space="0" w:color="auto"/>
        <w:bottom w:val="none" w:sz="0" w:space="0" w:color="auto"/>
        <w:right w:val="none" w:sz="0" w:space="0" w:color="auto"/>
      </w:divBdr>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1189963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55420535">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93152811">
      <w:bodyDiv w:val="1"/>
      <w:marLeft w:val="0"/>
      <w:marRight w:val="0"/>
      <w:marTop w:val="0"/>
      <w:marBottom w:val="0"/>
      <w:divBdr>
        <w:top w:val="none" w:sz="0" w:space="0" w:color="auto"/>
        <w:left w:val="none" w:sz="0" w:space="0" w:color="auto"/>
        <w:bottom w:val="none" w:sz="0" w:space="0" w:color="auto"/>
        <w:right w:val="none" w:sz="0" w:space="0" w:color="auto"/>
      </w:divBdr>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1962958257">
      <w:bodyDiv w:val="1"/>
      <w:marLeft w:val="0"/>
      <w:marRight w:val="0"/>
      <w:marTop w:val="0"/>
      <w:marBottom w:val="0"/>
      <w:divBdr>
        <w:top w:val="none" w:sz="0" w:space="0" w:color="auto"/>
        <w:left w:val="none" w:sz="0" w:space="0" w:color="auto"/>
        <w:bottom w:val="none" w:sz="0" w:space="0" w:color="auto"/>
        <w:right w:val="none" w:sz="0" w:space="0" w:color="auto"/>
      </w:divBdr>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thegef.org/sites/default/files/council-meeting-documents/EN_GEF.C.54.Inf_.05_Guidance_Gender_0.pdf" TargetMode="External"/><Relationship Id="rId26" Type="http://schemas.openxmlformats.org/officeDocument/2006/relationships/hyperlink" Target="https://www.thegef.org/documents/policies-guidelines" TargetMode="External"/><Relationship Id="rId39" Type="http://schemas.openxmlformats.org/officeDocument/2006/relationships/hyperlink" Target="mailto:eva.huttova@undp.org" TargetMode="External"/><Relationship Id="rId21" Type="http://schemas.openxmlformats.org/officeDocument/2006/relationships/footer" Target="footer2.xml"/><Relationship Id="rId34" Type="http://schemas.openxmlformats.org/officeDocument/2006/relationships/image" Target="media/image6.emf"/><Relationship Id="rId42" Type="http://schemas.openxmlformats.org/officeDocument/2006/relationships/customXml" Target="../customXml/item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ntranet.undp.org/unit/bpps/sdev/gef/_layouts/15/WopiFrame.aspx?sourcedoc=/unit/bpps/sdev/gef/Gender%20Library/UNDP%20GEF%20Guidance.%20How%20to%20conduct%20gender%20analysis%20and%20gender%20action%20plan.pdf&amp;action=default" TargetMode="External"/><Relationship Id="rId20" Type="http://schemas.openxmlformats.org/officeDocument/2006/relationships/footer" Target="footer1.xml"/><Relationship Id="rId29" Type="http://schemas.openxmlformats.org/officeDocument/2006/relationships/hyperlink" Target="http://intra.undp.org/bdp/archive-programming-manual/docs/reference-centre/chapter6/sbaa.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hegef.org/sites/default/files/council-meeting-documents/GEF-C.56-03%2C%20Policy%20on%20Monitoring.pdf" TargetMode="External"/><Relationship Id="rId32" Type="http://schemas.openxmlformats.org/officeDocument/2006/relationships/image" Target="media/image4.jpeg"/><Relationship Id="rId37" Type="http://schemas.openxmlformats.org/officeDocument/2006/relationships/image" Target="media/image9.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undp.org/content/undp/en/home/operations/accountability/evaluation/evaluation_policyofundp.html" TargetMode="External"/><Relationship Id="rId28" Type="http://schemas.openxmlformats.org/officeDocument/2006/relationships/footer" Target="footer3.xml"/><Relationship Id="rId36"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www.unfccc.me" TargetMode="External"/><Relationship Id="rId31" Type="http://schemas.openxmlformats.org/officeDocument/2006/relationships/hyperlink" Target="https://popp.undp.org/SitePages/POPPSubject.aspx?SBJID=452&amp;Menu=BusinessUnit&amp;Beta=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undp.org/content/undp/en/home/operations/accountability/programme_and_operationspoliciesandprocedures.html" TargetMode="External"/><Relationship Id="rId27" Type="http://schemas.openxmlformats.org/officeDocument/2006/relationships/header" Target="header1.xml"/><Relationship Id="rId30" Type="http://schemas.openxmlformats.org/officeDocument/2006/relationships/hyperlink" Target="http://www.un.org/sc/committees/1267/aq_sanctions_list.shtml" TargetMode="External"/><Relationship Id="rId35" Type="http://schemas.openxmlformats.org/officeDocument/2006/relationships/image" Target="media/image7.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hegef.org/sites/default/files/council-meeting-documents/EN_GEF.C.53.04_Gender_Policy.pdf" TargetMode="External"/><Relationship Id="rId25" Type="http://schemas.openxmlformats.org/officeDocument/2006/relationships/hyperlink" Target="https://www.thegef.org/sites/default/files/council-meeting-documents/EN_GEF.ME_C56_02_GEF_Evaluation_Policy_May_2019_0.pdf" TargetMode="External"/><Relationship Id="rId33" Type="http://schemas.openxmlformats.org/officeDocument/2006/relationships/image" Target="media/image5.png"/><Relationship Id="rId38" Type="http://schemas.openxmlformats.org/officeDocument/2006/relationships/hyperlink" Target="mailto:damiano.borgogno@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sites/default/files/council-meeting-documents/EN_GEF.C.54.Inf_.05_Guidance_Gender_0.pdf" TargetMode="External"/><Relationship Id="rId7" Type="http://schemas.openxmlformats.org/officeDocument/2006/relationships/hyperlink" Target="https://www.un-gsp.org/sites/default/files/documentos/gender_mainstreaming_climate_transparency_mrv_gsp_pilot_western_balkan.pdf" TargetMode="External"/><Relationship Id="rId2" Type="http://schemas.openxmlformats.org/officeDocument/2006/relationships/hyperlink" Target="http://www.thegef.org/sites/default/files/council-meeting-documents/EN_GEF.C.53.04_Gender_Policy.pdf" TargetMode="External"/><Relationship Id="rId1" Type="http://schemas.openxmlformats.org/officeDocument/2006/relationships/hyperlink" Target="https://intranet.undp.org/unit/bpps/sdev/gef/_layouts/15/WopiFrame.aspx?sourcedoc=/unit/bpps/sdev/gef/Gender%20Library/UNDP%20GEF%20Guidance.%20How%20to%20conduct%20gender%20analysis%20and%20gender%20action%20plan.pdf&amp;action=default" TargetMode="External"/><Relationship Id="rId6" Type="http://schemas.openxmlformats.org/officeDocument/2006/relationships/hyperlink" Target="https://www.un.org/womenwatch/daw/cedaw/" TargetMode="External"/><Relationship Id="rId5" Type="http://schemas.openxmlformats.org/officeDocument/2006/relationships/hyperlink" Target="https://popp.undp.org/_layouts/15/WopiFrame.aspx?sourcedoc=/UNDP_POPP_DOCUMENT_LIBRARY/Public/PPM_Project%20Management_Closing.docx&amp;action=default" TargetMode="External"/><Relationship Id="rId4" Type="http://schemas.openxmlformats.org/officeDocument/2006/relationships/hyperlink" Target="https://www.thegef.org/gef/policies_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ATLASPDC-4-139554</_dlc_DocId>
    <_dlc_DocIdUrl xmlns="f1161f5b-24a3-4c2d-bc81-44cb9325e8ee">
      <Url>https://info.undp.org/docs/pdc/_layouts/DocIdRedir.aspx?ID=ATLASPDC-4-139554</Url>
      <Description>ATLASPDC-4-139554</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2021-10-18T13:00:00+00:00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Montenegro</TermName>
          <TermId xmlns="http://schemas.microsoft.com/office/infopath/2007/PartnerControls">5152fafb-6870-4708-ae51-18265c91a86a</TermId>
        </TermInfo>
      </Terms>
    </UNDPCountryTaxHTField0>
    <UndpOUCode xmlns="1ed4137b-41b2-488b-8250-6d369ec27664">MNE</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2022-01-17T05:00:00+00:00</Document_x0020_Coverage_x0020_Period_x0020_Start_x0020_Date>
    <Document_x0020_Coverage_x0020_Period_x0020_End_x0020_Date xmlns="f1161f5b-24a3-4c2d-bc81-44cb9325e8ee">2025-06-16T04:00:00+00:00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1526</Value>
      <Value>296</Value>
      <Value>1110</Value>
      <Value>1533</Value>
      <Value>1</Value>
    </TaxCatchAll>
    <c4e2ab2cc9354bbf9064eeb465a566ea xmlns="1ed4137b-41b2-488b-8250-6d369ec27664">
      <Terms xmlns="http://schemas.microsoft.com/office/infopath/2007/PartnerControls"/>
    </c4e2ab2cc9354bbf9064eeb465a566ea>
    <UndpProjectNo xmlns="1ed4137b-41b2-488b-8250-6d369ec27664">00130983</UndpProjectNo>
    <UndpDocStatus xmlns="1ed4137b-41b2-488b-8250-6d369ec27664">Final</UndpDocStatus>
    <Outcome1 xmlns="f1161f5b-24a3-4c2d-bc81-44cb9325e8ee">00124161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BA2A93A5-6807-45B9-8F63-DB321E1A99CF}">
  <ds:schemaRefs>
    <ds:schemaRef ds:uri="http://schemas.microsoft.com/office/2006/metadata/properties"/>
    <ds:schemaRef ds:uri="http://schemas.microsoft.com/office/infopath/2007/PartnerControls"/>
    <ds:schemaRef ds:uri="920e7b4d-81d6-43f1-9e45-b04fd2894143"/>
    <ds:schemaRef ds:uri="05e84800-ff9a-43bb-bb7e-6161dfe90000"/>
  </ds:schemaRefs>
</ds:datastoreItem>
</file>

<file path=customXml/itemProps2.xml><?xml version="1.0" encoding="utf-8"?>
<ds:datastoreItem xmlns:ds="http://schemas.openxmlformats.org/officeDocument/2006/customXml" ds:itemID="{EC20C46F-379A-480E-81E7-CC2AE638905D}"/>
</file>

<file path=customXml/itemProps3.xml><?xml version="1.0" encoding="utf-8"?>
<ds:datastoreItem xmlns:ds="http://schemas.openxmlformats.org/officeDocument/2006/customXml" ds:itemID="{E3064EF3-4CD3-4BF1-A9FF-63FFD01E1887}">
  <ds:schemaRefs>
    <ds:schemaRef ds:uri="http://schemas.microsoft.com/office/2006/metadata/longProperties"/>
  </ds:schemaRefs>
</ds:datastoreItem>
</file>

<file path=customXml/itemProps4.xml><?xml version="1.0" encoding="utf-8"?>
<ds:datastoreItem xmlns:ds="http://schemas.openxmlformats.org/officeDocument/2006/customXml" ds:itemID="{2C3BF90D-DEF3-440E-BC8B-C3405D744168}">
  <ds:schemaRefs>
    <ds:schemaRef ds:uri="http://schemas.microsoft.com/sharepoint/events"/>
  </ds:schemaRefs>
</ds:datastoreItem>
</file>

<file path=customXml/itemProps5.xml><?xml version="1.0" encoding="utf-8"?>
<ds:datastoreItem xmlns:ds="http://schemas.openxmlformats.org/officeDocument/2006/customXml" ds:itemID="{0E7CB953-4BBD-4B78-BD76-050C868AE80F}">
  <ds:schemaRefs>
    <ds:schemaRef ds:uri="http://schemas.microsoft.com/sharepoint/v3/contenttype/forms"/>
  </ds:schemaRefs>
</ds:datastoreItem>
</file>

<file path=customXml/itemProps6.xml><?xml version="1.0" encoding="utf-8"?>
<ds:datastoreItem xmlns:ds="http://schemas.openxmlformats.org/officeDocument/2006/customXml" ds:itemID="{516AE1E7-7120-4030-93BA-B433EB0DEFB7}">
  <ds:schemaRefs>
    <ds:schemaRef ds:uri="http://schemas.openxmlformats.org/officeDocument/2006/bibliography"/>
  </ds:schemaRefs>
</ds:datastoreItem>
</file>

<file path=customXml/itemProps7.xml><?xml version="1.0" encoding="utf-8"?>
<ds:datastoreItem xmlns:ds="http://schemas.openxmlformats.org/officeDocument/2006/customXml" ds:itemID="{6A89FD3A-FCC7-4F74-B001-3DA25F76A9DF}"/>
</file>

<file path=docProps/app.xml><?xml version="1.0" encoding="utf-8"?>
<Properties xmlns="http://schemas.openxmlformats.org/officeDocument/2006/extended-properties" xmlns:vt="http://schemas.openxmlformats.org/officeDocument/2006/docPropsVTypes">
  <Template>Normal</Template>
  <TotalTime>1</TotalTime>
  <Pages>84</Pages>
  <Words>26156</Words>
  <Characters>169491</Characters>
  <Application>Microsoft Office Word</Application>
  <DocSecurity>4</DocSecurity>
  <Lines>1412</Lines>
  <Paragraphs>390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ProDoc template for all vertical funds - CLEAN version</vt:lpstr>
      <vt:lpstr>ProDoc template for all vertical funds - CLEAN version</vt:lpstr>
    </vt:vector>
  </TitlesOfParts>
  <Company>Microsoft</Company>
  <LinksUpToDate>false</LinksUpToDate>
  <CharactersWithSpaces>195257</CharactersWithSpaces>
  <SharedDoc>false</SharedDoc>
  <HLinks>
    <vt:vector size="480" baseType="variant">
      <vt:variant>
        <vt:i4>2883633</vt:i4>
      </vt:variant>
      <vt:variant>
        <vt:i4>318</vt:i4>
      </vt:variant>
      <vt:variant>
        <vt:i4>0</vt:i4>
      </vt:variant>
      <vt:variant>
        <vt:i4>5</vt:i4>
      </vt:variant>
      <vt:variant>
        <vt:lpwstr>http://www.thegef.org/</vt:lpwstr>
      </vt:variant>
      <vt:variant>
        <vt:lpwstr/>
      </vt:variant>
      <vt:variant>
        <vt:i4>2883633</vt:i4>
      </vt:variant>
      <vt:variant>
        <vt:i4>315</vt:i4>
      </vt:variant>
      <vt:variant>
        <vt:i4>0</vt:i4>
      </vt:variant>
      <vt:variant>
        <vt:i4>5</vt:i4>
      </vt:variant>
      <vt:variant>
        <vt:lpwstr>http://www.thegef.org/</vt:lpwstr>
      </vt:variant>
      <vt:variant>
        <vt:lpwstr/>
      </vt:variant>
      <vt:variant>
        <vt:i4>4784198</vt:i4>
      </vt:variant>
      <vt:variant>
        <vt:i4>312</vt:i4>
      </vt:variant>
      <vt:variant>
        <vt:i4>0</vt:i4>
      </vt:variant>
      <vt:variant>
        <vt:i4>5</vt:i4>
      </vt:variant>
      <vt:variant>
        <vt:lpwstr>http://www.undp.org/</vt:lpwstr>
      </vt:variant>
      <vt:variant>
        <vt:lpwstr/>
      </vt:variant>
      <vt:variant>
        <vt:i4>18</vt:i4>
      </vt:variant>
      <vt:variant>
        <vt:i4>309</vt:i4>
      </vt:variant>
      <vt:variant>
        <vt:i4>0</vt:i4>
      </vt:variant>
      <vt:variant>
        <vt:i4>5</vt:i4>
      </vt:variant>
      <vt:variant>
        <vt:lpwstr>http://www.un.org/sc/committees/1267/aq_sanctions_list.shtml</vt:lpwstr>
      </vt:variant>
      <vt:variant>
        <vt:lpwstr/>
      </vt:variant>
      <vt:variant>
        <vt:i4>18</vt:i4>
      </vt:variant>
      <vt:variant>
        <vt:i4>306</vt:i4>
      </vt:variant>
      <vt:variant>
        <vt:i4>0</vt:i4>
      </vt:variant>
      <vt:variant>
        <vt:i4>5</vt:i4>
      </vt:variant>
      <vt:variant>
        <vt:lpwstr>http://www.un.org/sc/committees/1267/aq_sanctions_list.shtml</vt:lpwstr>
      </vt:variant>
      <vt:variant>
        <vt:lpwstr/>
      </vt:variant>
      <vt:variant>
        <vt:i4>18</vt:i4>
      </vt:variant>
      <vt:variant>
        <vt:i4>303</vt:i4>
      </vt:variant>
      <vt:variant>
        <vt:i4>0</vt:i4>
      </vt:variant>
      <vt:variant>
        <vt:i4>5</vt:i4>
      </vt:variant>
      <vt:variant>
        <vt:lpwstr>http://www.un.org/sc/committees/1267/aq_sanctions_list.shtml</vt:lpwstr>
      </vt:variant>
      <vt:variant>
        <vt:lpwstr/>
      </vt:variant>
      <vt:variant>
        <vt:i4>18</vt:i4>
      </vt:variant>
      <vt:variant>
        <vt:i4>300</vt:i4>
      </vt:variant>
      <vt:variant>
        <vt:i4>0</vt:i4>
      </vt:variant>
      <vt:variant>
        <vt:i4>5</vt:i4>
      </vt:variant>
      <vt:variant>
        <vt:lpwstr>http://www.un.org/sc/committees/1267/aq_sanctions_list.shtml</vt:lpwstr>
      </vt:variant>
      <vt:variant>
        <vt:lpwstr/>
      </vt:variant>
      <vt:variant>
        <vt:i4>3801137</vt:i4>
      </vt:variant>
      <vt:variant>
        <vt:i4>297</vt:i4>
      </vt:variant>
      <vt:variant>
        <vt:i4>0</vt:i4>
      </vt:variant>
      <vt:variant>
        <vt:i4>5</vt:i4>
      </vt:variant>
      <vt:variant>
        <vt:lpwstr>https://intranet.undp.org/global/documents/ppm/Supplemental.pdf</vt:lpwstr>
      </vt:variant>
      <vt:variant>
        <vt:lpwstr/>
      </vt:variant>
      <vt:variant>
        <vt:i4>3801137</vt:i4>
      </vt:variant>
      <vt:variant>
        <vt:i4>294</vt:i4>
      </vt:variant>
      <vt:variant>
        <vt:i4>0</vt:i4>
      </vt:variant>
      <vt:variant>
        <vt:i4>5</vt:i4>
      </vt:variant>
      <vt:variant>
        <vt:lpwstr>https://intranet.undp.org/global/documents/ppm/Supplemental.pdf</vt:lpwstr>
      </vt:variant>
      <vt:variant>
        <vt:lpwstr/>
      </vt:variant>
      <vt:variant>
        <vt:i4>5505088</vt:i4>
      </vt:variant>
      <vt:variant>
        <vt:i4>291</vt:i4>
      </vt:variant>
      <vt:variant>
        <vt:i4>0</vt:i4>
      </vt:variant>
      <vt:variant>
        <vt:i4>5</vt:i4>
      </vt:variant>
      <vt:variant>
        <vt:lpwstr>http://intra.undp.org/bdp/archive-programming-manual/docs/reference-centre/chapter6/sbaa.pdf</vt:lpwstr>
      </vt:variant>
      <vt:variant>
        <vt:lpwstr/>
      </vt:variant>
      <vt:variant>
        <vt:i4>5505088</vt:i4>
      </vt:variant>
      <vt:variant>
        <vt:i4>288</vt:i4>
      </vt:variant>
      <vt:variant>
        <vt:i4>0</vt:i4>
      </vt:variant>
      <vt:variant>
        <vt:i4>5</vt:i4>
      </vt:variant>
      <vt:variant>
        <vt:lpwstr>http://intra.undp.org/bdp/archive-programming-manual/docs/reference-centre/chapter6/sbaa.pdf</vt:lpwstr>
      </vt:variant>
      <vt:variant>
        <vt:lpwstr/>
      </vt:variant>
      <vt:variant>
        <vt:i4>393246</vt:i4>
      </vt:variant>
      <vt:variant>
        <vt:i4>279</vt:i4>
      </vt:variant>
      <vt:variant>
        <vt:i4>0</vt:i4>
      </vt:variant>
      <vt:variant>
        <vt:i4>5</vt:i4>
      </vt:variant>
      <vt:variant>
        <vt:lpwstr>https://popp.undp.org/_layouts/15/WopiFrame.aspx?sourcedoc=/UNDP_POPP_DOCUMENT_LIBRARY/Public/PPM_Project%20Management_Standard%20LOA%20between%20UNDP%20and%20the%20Government%20for%20the%20Provision%20of%20Support%20Services.docx&amp;action=default</vt:lpwstr>
      </vt:variant>
      <vt:variant>
        <vt:lpwstr/>
      </vt:variant>
      <vt:variant>
        <vt:i4>7536690</vt:i4>
      </vt:variant>
      <vt:variant>
        <vt:i4>276</vt:i4>
      </vt:variant>
      <vt:variant>
        <vt:i4>0</vt:i4>
      </vt:variant>
      <vt:variant>
        <vt:i4>5</vt:i4>
      </vt:variant>
      <vt:variant>
        <vt:lpwstr>https://popp.undp.org/SitePages/POPPSubject.aspx?SBJID=452&amp;Menu=BusinessUnit&amp;Beta=0</vt:lpwstr>
      </vt:variant>
      <vt:variant>
        <vt:lpwstr/>
      </vt:variant>
      <vt:variant>
        <vt:i4>6422635</vt:i4>
      </vt:variant>
      <vt:variant>
        <vt:i4>258</vt:i4>
      </vt:variant>
      <vt:variant>
        <vt:i4>0</vt:i4>
      </vt:variant>
      <vt:variant>
        <vt:i4>5</vt:i4>
      </vt:variant>
      <vt:variant>
        <vt:lpwstr>http://web.undp.org/evaluation/guidance.shtml</vt:lpwstr>
      </vt:variant>
      <vt:variant>
        <vt:lpwstr>gef</vt:lpwstr>
      </vt:variant>
      <vt:variant>
        <vt:i4>6422635</vt:i4>
      </vt:variant>
      <vt:variant>
        <vt:i4>255</vt:i4>
      </vt:variant>
      <vt:variant>
        <vt:i4>0</vt:i4>
      </vt:variant>
      <vt:variant>
        <vt:i4>5</vt:i4>
      </vt:variant>
      <vt:variant>
        <vt:lpwstr>http://web.undp.org/evaluation/guidance.shtml</vt:lpwstr>
      </vt:variant>
      <vt:variant>
        <vt:lpwstr>gef</vt:lpwstr>
      </vt:variant>
      <vt:variant>
        <vt:i4>6488079</vt:i4>
      </vt:variant>
      <vt:variant>
        <vt:i4>252</vt:i4>
      </vt:variant>
      <vt:variant>
        <vt:i4>0</vt:i4>
      </vt:variant>
      <vt:variant>
        <vt:i4>5</vt:i4>
      </vt:variant>
      <vt:variant>
        <vt:lpwstr>https://www.thegef.org/sites/default/files/documents/Results_Guidelines.pdf</vt:lpwstr>
      </vt:variant>
      <vt:variant>
        <vt:lpwstr/>
      </vt:variant>
      <vt:variant>
        <vt:i4>589848</vt:i4>
      </vt:variant>
      <vt:variant>
        <vt:i4>249</vt:i4>
      </vt:variant>
      <vt:variant>
        <vt:i4>0</vt:i4>
      </vt:variant>
      <vt:variant>
        <vt:i4>5</vt:i4>
      </vt:variant>
      <vt:variant>
        <vt:lpwstr>https://www.thegef.org/documents/policies-guidelines</vt:lpwstr>
      </vt:variant>
      <vt:variant>
        <vt:lpwstr/>
      </vt:variant>
      <vt:variant>
        <vt:i4>1441919</vt:i4>
      </vt:variant>
      <vt:variant>
        <vt:i4>246</vt:i4>
      </vt:variant>
      <vt:variant>
        <vt:i4>0</vt:i4>
      </vt:variant>
      <vt:variant>
        <vt:i4>5</vt:i4>
      </vt:variant>
      <vt:variant>
        <vt:lpwstr>https://www.thegef.org/sites/default/files/council-meeting-documents/EN_GEF.ME_C56_02_GEF_Evaluation_Policy_May_2019_0.pdf</vt:lpwstr>
      </vt:variant>
      <vt:variant>
        <vt:lpwstr/>
      </vt:variant>
      <vt:variant>
        <vt:i4>5570565</vt:i4>
      </vt:variant>
      <vt:variant>
        <vt:i4>243</vt:i4>
      </vt:variant>
      <vt:variant>
        <vt:i4>0</vt:i4>
      </vt:variant>
      <vt:variant>
        <vt:i4>5</vt:i4>
      </vt:variant>
      <vt:variant>
        <vt:lpwstr>https://www.thegef.org/sites/default/files/council-meeting-documents/GEF-C.56-03%2C Policy on Monitoring.pdf</vt:lpwstr>
      </vt:variant>
      <vt:variant>
        <vt:lpwstr/>
      </vt:variant>
      <vt:variant>
        <vt:i4>7995479</vt:i4>
      </vt:variant>
      <vt:variant>
        <vt:i4>240</vt:i4>
      </vt:variant>
      <vt:variant>
        <vt:i4>0</vt:i4>
      </vt:variant>
      <vt:variant>
        <vt:i4>5</vt:i4>
      </vt:variant>
      <vt:variant>
        <vt:lpwstr>http://www.undp.org/content/undp/en/home/operations/accountability/evaluation/evaluation_policyofundp.html</vt:lpwstr>
      </vt:variant>
      <vt:variant>
        <vt:lpwstr/>
      </vt:variant>
      <vt:variant>
        <vt:i4>1441859</vt:i4>
      </vt:variant>
      <vt:variant>
        <vt:i4>237</vt:i4>
      </vt:variant>
      <vt:variant>
        <vt:i4>0</vt:i4>
      </vt:variant>
      <vt:variant>
        <vt:i4>5</vt:i4>
      </vt:variant>
      <vt:variant>
        <vt:lpwstr>http://www.undp.org/content/undp/en/home/operations/accountability/programme_and_operationspoliciesandprocedures.html</vt:lpwstr>
      </vt:variant>
      <vt:variant>
        <vt:lpwstr/>
      </vt:variant>
      <vt:variant>
        <vt:i4>6488079</vt:i4>
      </vt:variant>
      <vt:variant>
        <vt:i4>234</vt:i4>
      </vt:variant>
      <vt:variant>
        <vt:i4>0</vt:i4>
      </vt:variant>
      <vt:variant>
        <vt:i4>5</vt:i4>
      </vt:variant>
      <vt:variant>
        <vt:lpwstr>https://www.thegef.org/sites/default/files/documents/Results_Guidelines.pdf</vt:lpwstr>
      </vt:variant>
      <vt:variant>
        <vt:lpwstr/>
      </vt:variant>
      <vt:variant>
        <vt:i4>6160460</vt:i4>
      </vt:variant>
      <vt:variant>
        <vt:i4>231</vt:i4>
      </vt:variant>
      <vt:variant>
        <vt:i4>0</vt:i4>
      </vt:variant>
      <vt:variant>
        <vt:i4>5</vt:i4>
      </vt:variant>
      <vt:variant>
        <vt:lpwstr>http://www.undp.org/content/undp/en/home/ourwork/development-impact/south-south-cooperation.html</vt:lpwstr>
      </vt:variant>
      <vt:variant>
        <vt:lpwstr/>
      </vt:variant>
      <vt:variant>
        <vt:i4>2097162</vt:i4>
      </vt:variant>
      <vt:variant>
        <vt:i4>224</vt:i4>
      </vt:variant>
      <vt:variant>
        <vt:i4>0</vt:i4>
      </vt:variant>
      <vt:variant>
        <vt:i4>5</vt:i4>
      </vt:variant>
      <vt:variant>
        <vt:lpwstr/>
      </vt:variant>
      <vt:variant>
        <vt:lpwstr>_Toc9344703</vt:lpwstr>
      </vt:variant>
      <vt:variant>
        <vt:i4>2097162</vt:i4>
      </vt:variant>
      <vt:variant>
        <vt:i4>218</vt:i4>
      </vt:variant>
      <vt:variant>
        <vt:i4>0</vt:i4>
      </vt:variant>
      <vt:variant>
        <vt:i4>5</vt:i4>
      </vt:variant>
      <vt:variant>
        <vt:lpwstr/>
      </vt:variant>
      <vt:variant>
        <vt:lpwstr>_Toc9344702</vt:lpwstr>
      </vt:variant>
      <vt:variant>
        <vt:i4>2097162</vt:i4>
      </vt:variant>
      <vt:variant>
        <vt:i4>212</vt:i4>
      </vt:variant>
      <vt:variant>
        <vt:i4>0</vt:i4>
      </vt:variant>
      <vt:variant>
        <vt:i4>5</vt:i4>
      </vt:variant>
      <vt:variant>
        <vt:lpwstr/>
      </vt:variant>
      <vt:variant>
        <vt:lpwstr>_Toc9344701</vt:lpwstr>
      </vt:variant>
      <vt:variant>
        <vt:i4>2097162</vt:i4>
      </vt:variant>
      <vt:variant>
        <vt:i4>206</vt:i4>
      </vt:variant>
      <vt:variant>
        <vt:i4>0</vt:i4>
      </vt:variant>
      <vt:variant>
        <vt:i4>5</vt:i4>
      </vt:variant>
      <vt:variant>
        <vt:lpwstr/>
      </vt:variant>
      <vt:variant>
        <vt:lpwstr>_Toc9344700</vt:lpwstr>
      </vt:variant>
      <vt:variant>
        <vt:i4>2686987</vt:i4>
      </vt:variant>
      <vt:variant>
        <vt:i4>200</vt:i4>
      </vt:variant>
      <vt:variant>
        <vt:i4>0</vt:i4>
      </vt:variant>
      <vt:variant>
        <vt:i4>5</vt:i4>
      </vt:variant>
      <vt:variant>
        <vt:lpwstr/>
      </vt:variant>
      <vt:variant>
        <vt:lpwstr>_Toc9344699</vt:lpwstr>
      </vt:variant>
      <vt:variant>
        <vt:i4>2686987</vt:i4>
      </vt:variant>
      <vt:variant>
        <vt:i4>194</vt:i4>
      </vt:variant>
      <vt:variant>
        <vt:i4>0</vt:i4>
      </vt:variant>
      <vt:variant>
        <vt:i4>5</vt:i4>
      </vt:variant>
      <vt:variant>
        <vt:lpwstr/>
      </vt:variant>
      <vt:variant>
        <vt:lpwstr>_Toc9344698</vt:lpwstr>
      </vt:variant>
      <vt:variant>
        <vt:i4>2686987</vt:i4>
      </vt:variant>
      <vt:variant>
        <vt:i4>188</vt:i4>
      </vt:variant>
      <vt:variant>
        <vt:i4>0</vt:i4>
      </vt:variant>
      <vt:variant>
        <vt:i4>5</vt:i4>
      </vt:variant>
      <vt:variant>
        <vt:lpwstr/>
      </vt:variant>
      <vt:variant>
        <vt:lpwstr>_Toc9344697</vt:lpwstr>
      </vt:variant>
      <vt:variant>
        <vt:i4>2686987</vt:i4>
      </vt:variant>
      <vt:variant>
        <vt:i4>182</vt:i4>
      </vt:variant>
      <vt:variant>
        <vt:i4>0</vt:i4>
      </vt:variant>
      <vt:variant>
        <vt:i4>5</vt:i4>
      </vt:variant>
      <vt:variant>
        <vt:lpwstr/>
      </vt:variant>
      <vt:variant>
        <vt:lpwstr>_Toc9344696</vt:lpwstr>
      </vt:variant>
      <vt:variant>
        <vt:i4>2686987</vt:i4>
      </vt:variant>
      <vt:variant>
        <vt:i4>176</vt:i4>
      </vt:variant>
      <vt:variant>
        <vt:i4>0</vt:i4>
      </vt:variant>
      <vt:variant>
        <vt:i4>5</vt:i4>
      </vt:variant>
      <vt:variant>
        <vt:lpwstr/>
      </vt:variant>
      <vt:variant>
        <vt:lpwstr>_Toc9344695</vt:lpwstr>
      </vt:variant>
      <vt:variant>
        <vt:i4>2686987</vt:i4>
      </vt:variant>
      <vt:variant>
        <vt:i4>170</vt:i4>
      </vt:variant>
      <vt:variant>
        <vt:i4>0</vt:i4>
      </vt:variant>
      <vt:variant>
        <vt:i4>5</vt:i4>
      </vt:variant>
      <vt:variant>
        <vt:lpwstr/>
      </vt:variant>
      <vt:variant>
        <vt:lpwstr>_Toc9344694</vt:lpwstr>
      </vt:variant>
      <vt:variant>
        <vt:i4>2686987</vt:i4>
      </vt:variant>
      <vt:variant>
        <vt:i4>164</vt:i4>
      </vt:variant>
      <vt:variant>
        <vt:i4>0</vt:i4>
      </vt:variant>
      <vt:variant>
        <vt:i4>5</vt:i4>
      </vt:variant>
      <vt:variant>
        <vt:lpwstr/>
      </vt:variant>
      <vt:variant>
        <vt:lpwstr>_Toc9344693</vt:lpwstr>
      </vt:variant>
      <vt:variant>
        <vt:i4>2686987</vt:i4>
      </vt:variant>
      <vt:variant>
        <vt:i4>158</vt:i4>
      </vt:variant>
      <vt:variant>
        <vt:i4>0</vt:i4>
      </vt:variant>
      <vt:variant>
        <vt:i4>5</vt:i4>
      </vt:variant>
      <vt:variant>
        <vt:lpwstr/>
      </vt:variant>
      <vt:variant>
        <vt:lpwstr>_Toc9344692</vt:lpwstr>
      </vt:variant>
      <vt:variant>
        <vt:i4>2686987</vt:i4>
      </vt:variant>
      <vt:variant>
        <vt:i4>152</vt:i4>
      </vt:variant>
      <vt:variant>
        <vt:i4>0</vt:i4>
      </vt:variant>
      <vt:variant>
        <vt:i4>5</vt:i4>
      </vt:variant>
      <vt:variant>
        <vt:lpwstr/>
      </vt:variant>
      <vt:variant>
        <vt:lpwstr>_Toc9344691</vt:lpwstr>
      </vt:variant>
      <vt:variant>
        <vt:i4>2686987</vt:i4>
      </vt:variant>
      <vt:variant>
        <vt:i4>146</vt:i4>
      </vt:variant>
      <vt:variant>
        <vt:i4>0</vt:i4>
      </vt:variant>
      <vt:variant>
        <vt:i4>5</vt:i4>
      </vt:variant>
      <vt:variant>
        <vt:lpwstr/>
      </vt:variant>
      <vt:variant>
        <vt:lpwstr>_Toc9344690</vt:lpwstr>
      </vt:variant>
      <vt:variant>
        <vt:i4>2621451</vt:i4>
      </vt:variant>
      <vt:variant>
        <vt:i4>140</vt:i4>
      </vt:variant>
      <vt:variant>
        <vt:i4>0</vt:i4>
      </vt:variant>
      <vt:variant>
        <vt:i4>5</vt:i4>
      </vt:variant>
      <vt:variant>
        <vt:lpwstr/>
      </vt:variant>
      <vt:variant>
        <vt:lpwstr>_Toc9344689</vt:lpwstr>
      </vt:variant>
      <vt:variant>
        <vt:i4>2621451</vt:i4>
      </vt:variant>
      <vt:variant>
        <vt:i4>134</vt:i4>
      </vt:variant>
      <vt:variant>
        <vt:i4>0</vt:i4>
      </vt:variant>
      <vt:variant>
        <vt:i4>5</vt:i4>
      </vt:variant>
      <vt:variant>
        <vt:lpwstr/>
      </vt:variant>
      <vt:variant>
        <vt:lpwstr>_Toc9344688</vt:lpwstr>
      </vt:variant>
      <vt:variant>
        <vt:i4>2621451</vt:i4>
      </vt:variant>
      <vt:variant>
        <vt:i4>128</vt:i4>
      </vt:variant>
      <vt:variant>
        <vt:i4>0</vt:i4>
      </vt:variant>
      <vt:variant>
        <vt:i4>5</vt:i4>
      </vt:variant>
      <vt:variant>
        <vt:lpwstr/>
      </vt:variant>
      <vt:variant>
        <vt:lpwstr>_Toc9344687</vt:lpwstr>
      </vt:variant>
      <vt:variant>
        <vt:i4>2621451</vt:i4>
      </vt:variant>
      <vt:variant>
        <vt:i4>122</vt:i4>
      </vt:variant>
      <vt:variant>
        <vt:i4>0</vt:i4>
      </vt:variant>
      <vt:variant>
        <vt:i4>5</vt:i4>
      </vt:variant>
      <vt:variant>
        <vt:lpwstr/>
      </vt:variant>
      <vt:variant>
        <vt:lpwstr>_Toc9344686</vt:lpwstr>
      </vt:variant>
      <vt:variant>
        <vt:i4>2621451</vt:i4>
      </vt:variant>
      <vt:variant>
        <vt:i4>116</vt:i4>
      </vt:variant>
      <vt:variant>
        <vt:i4>0</vt:i4>
      </vt:variant>
      <vt:variant>
        <vt:i4>5</vt:i4>
      </vt:variant>
      <vt:variant>
        <vt:lpwstr/>
      </vt:variant>
      <vt:variant>
        <vt:lpwstr>_Toc9344685</vt:lpwstr>
      </vt:variant>
      <vt:variant>
        <vt:i4>2621451</vt:i4>
      </vt:variant>
      <vt:variant>
        <vt:i4>110</vt:i4>
      </vt:variant>
      <vt:variant>
        <vt:i4>0</vt:i4>
      </vt:variant>
      <vt:variant>
        <vt:i4>5</vt:i4>
      </vt:variant>
      <vt:variant>
        <vt:lpwstr/>
      </vt:variant>
      <vt:variant>
        <vt:lpwstr>_Toc9344684</vt:lpwstr>
      </vt:variant>
      <vt:variant>
        <vt:i4>2621451</vt:i4>
      </vt:variant>
      <vt:variant>
        <vt:i4>104</vt:i4>
      </vt:variant>
      <vt:variant>
        <vt:i4>0</vt:i4>
      </vt:variant>
      <vt:variant>
        <vt:i4>5</vt:i4>
      </vt:variant>
      <vt:variant>
        <vt:lpwstr/>
      </vt:variant>
      <vt:variant>
        <vt:lpwstr>_Toc9344683</vt:lpwstr>
      </vt:variant>
      <vt:variant>
        <vt:i4>2621451</vt:i4>
      </vt:variant>
      <vt:variant>
        <vt:i4>98</vt:i4>
      </vt:variant>
      <vt:variant>
        <vt:i4>0</vt:i4>
      </vt:variant>
      <vt:variant>
        <vt:i4>5</vt:i4>
      </vt:variant>
      <vt:variant>
        <vt:lpwstr/>
      </vt:variant>
      <vt:variant>
        <vt:lpwstr>_Toc9344682</vt:lpwstr>
      </vt:variant>
      <vt:variant>
        <vt:i4>2621451</vt:i4>
      </vt:variant>
      <vt:variant>
        <vt:i4>92</vt:i4>
      </vt:variant>
      <vt:variant>
        <vt:i4>0</vt:i4>
      </vt:variant>
      <vt:variant>
        <vt:i4>5</vt:i4>
      </vt:variant>
      <vt:variant>
        <vt:lpwstr/>
      </vt:variant>
      <vt:variant>
        <vt:lpwstr>_Toc9344681</vt:lpwstr>
      </vt:variant>
      <vt:variant>
        <vt:i4>5439511</vt:i4>
      </vt:variant>
      <vt:variant>
        <vt:i4>87</vt:i4>
      </vt:variant>
      <vt:variant>
        <vt:i4>0</vt:i4>
      </vt:variant>
      <vt:variant>
        <vt:i4>5</vt:i4>
      </vt:variant>
      <vt:variant>
        <vt:lpwstr>https://intranet.undp.org/unit/bpps/sdev/gef/default.aspx</vt:lpwstr>
      </vt:variant>
      <vt:variant>
        <vt:lpwstr/>
      </vt:variant>
      <vt:variant>
        <vt:i4>4718685</vt:i4>
      </vt:variant>
      <vt:variant>
        <vt:i4>84</vt:i4>
      </vt:variant>
      <vt:variant>
        <vt:i4>0</vt:i4>
      </vt:variant>
      <vt:variant>
        <vt:i4>5</vt:i4>
      </vt:variant>
      <vt:variant>
        <vt:lpwstr>http://www.undp.org/content/undp/en/home/operations/social-and-environmental-sustainability-in-undp/SES.html</vt:lpwstr>
      </vt:variant>
      <vt:variant>
        <vt:lpwstr/>
      </vt:variant>
      <vt:variant>
        <vt:i4>3604595</vt:i4>
      </vt:variant>
      <vt:variant>
        <vt:i4>81</vt:i4>
      </vt:variant>
      <vt:variant>
        <vt:i4>0</vt:i4>
      </vt:variant>
      <vt:variant>
        <vt:i4>5</vt:i4>
      </vt:variant>
      <vt:variant>
        <vt:lpwstr>https://info.undp.org/global/popp/ppm/Pages/Defining-a-Project.aspx</vt:lpwstr>
      </vt:variant>
      <vt:variant>
        <vt:lpwstr/>
      </vt:variant>
      <vt:variant>
        <vt:i4>5046281</vt:i4>
      </vt:variant>
      <vt:variant>
        <vt:i4>78</vt:i4>
      </vt:variant>
      <vt:variant>
        <vt:i4>0</vt:i4>
      </vt:variant>
      <vt:variant>
        <vt:i4>5</vt:i4>
      </vt:variant>
      <vt:variant>
        <vt:lpwstr>https://info.undp.org/global/popp/frm/Pages/Direct-Project-Costs.aspx</vt:lpwstr>
      </vt:variant>
      <vt:variant>
        <vt:lpwstr/>
      </vt:variant>
      <vt:variant>
        <vt:i4>8060979</vt:i4>
      </vt:variant>
      <vt:variant>
        <vt:i4>75</vt:i4>
      </vt:variant>
      <vt:variant>
        <vt:i4>0</vt:i4>
      </vt:variant>
      <vt:variant>
        <vt:i4>5</vt:i4>
      </vt:variant>
      <vt:variant>
        <vt:lpwstr>https://intranet.undp.org/unit/office/exo/IRRF/default.aspx</vt:lpwstr>
      </vt:variant>
      <vt:variant>
        <vt:lpwstr/>
      </vt:variant>
      <vt:variant>
        <vt:i4>6553609</vt:i4>
      </vt:variant>
      <vt:variant>
        <vt:i4>72</vt:i4>
      </vt:variant>
      <vt:variant>
        <vt:i4>0</vt:i4>
      </vt:variant>
      <vt:variant>
        <vt:i4>5</vt:i4>
      </vt:variant>
      <vt:variant>
        <vt:lpwstr>https://www.thegef.org/gef/tracking_tools</vt:lpwstr>
      </vt:variant>
      <vt:variant>
        <vt:lpwstr/>
      </vt:variant>
      <vt:variant>
        <vt:i4>65644</vt:i4>
      </vt:variant>
      <vt:variant>
        <vt:i4>69</vt:i4>
      </vt:variant>
      <vt:variant>
        <vt:i4>0</vt:i4>
      </vt:variant>
      <vt:variant>
        <vt:i4>5</vt:i4>
      </vt:variant>
      <vt:variant>
        <vt:lpwstr>https://www.thegef.org/gef/guidelines_templates</vt:lpwstr>
      </vt:variant>
      <vt:variant>
        <vt:lpwstr/>
      </vt:variant>
      <vt:variant>
        <vt:i4>5177411</vt:i4>
      </vt:variant>
      <vt:variant>
        <vt:i4>66</vt:i4>
      </vt:variant>
      <vt:variant>
        <vt:i4>0</vt:i4>
      </vt:variant>
      <vt:variant>
        <vt:i4>5</vt:i4>
      </vt:variant>
      <vt:variant>
        <vt:lpwstr>http://erc.undp.org/</vt:lpwstr>
      </vt:variant>
      <vt:variant>
        <vt:lpwstr/>
      </vt:variant>
      <vt:variant>
        <vt:i4>3604595</vt:i4>
      </vt:variant>
      <vt:variant>
        <vt:i4>63</vt:i4>
      </vt:variant>
      <vt:variant>
        <vt:i4>0</vt:i4>
      </vt:variant>
      <vt:variant>
        <vt:i4>5</vt:i4>
      </vt:variant>
      <vt:variant>
        <vt:lpwstr>https://info.undp.org/global/popp/ppm/Pages/Defining-a-Project.aspx</vt:lpwstr>
      </vt:variant>
      <vt:variant>
        <vt:lpwstr/>
      </vt:variant>
      <vt:variant>
        <vt:i4>917570</vt:i4>
      </vt:variant>
      <vt:variant>
        <vt:i4>60</vt:i4>
      </vt:variant>
      <vt:variant>
        <vt:i4>0</vt:i4>
      </vt:variant>
      <vt:variant>
        <vt:i4>5</vt:i4>
      </vt:variant>
      <vt:variant>
        <vt:lpwstr>https://info.undp.org/global/popp/frm/Pages/direct-agency-implementation.aspx</vt:lpwstr>
      </vt:variant>
      <vt:variant>
        <vt:lpwstr/>
      </vt:variant>
      <vt:variant>
        <vt:i4>852086</vt:i4>
      </vt:variant>
      <vt:variant>
        <vt:i4>57</vt:i4>
      </vt:variant>
      <vt:variant>
        <vt:i4>0</vt:i4>
      </vt:variant>
      <vt:variant>
        <vt:i4>5</vt:i4>
      </vt:variant>
      <vt:variant>
        <vt:lpwstr>https://www.thegef.org/gef/policies_guidelines</vt:lpwstr>
      </vt:variant>
      <vt:variant>
        <vt:lpwstr/>
      </vt:variant>
      <vt:variant>
        <vt:i4>5505096</vt:i4>
      </vt:variant>
      <vt:variant>
        <vt:i4>54</vt:i4>
      </vt:variant>
      <vt:variant>
        <vt:i4>0</vt:i4>
      </vt:variant>
      <vt:variant>
        <vt:i4>5</vt:i4>
      </vt:variant>
      <vt:variant>
        <vt:lpwstr>https://www.thegef.org/gef/sites/thegef.org/files/Gender_Mainstreaming_Policy.pdf</vt:lpwstr>
      </vt:variant>
      <vt:variant>
        <vt:lpwstr/>
      </vt:variant>
      <vt:variant>
        <vt:i4>3866736</vt:i4>
      </vt:variant>
      <vt:variant>
        <vt:i4>51</vt:i4>
      </vt:variant>
      <vt:variant>
        <vt:i4>0</vt:i4>
      </vt:variant>
      <vt:variant>
        <vt:i4>5</vt:i4>
      </vt:variant>
      <vt:variant>
        <vt:lpwstr>http://www.undp.org/content/undp/en/home/librarypage/womens-empowerment/gender-equality-strategy-2014-2017/</vt:lpwstr>
      </vt:variant>
      <vt:variant>
        <vt:lpwstr/>
      </vt:variant>
      <vt:variant>
        <vt:i4>3539014</vt:i4>
      </vt:variant>
      <vt:variant>
        <vt:i4>48</vt:i4>
      </vt:variant>
      <vt:variant>
        <vt:i4>0</vt:i4>
      </vt:variant>
      <vt:variant>
        <vt:i4>5</vt:i4>
      </vt:variant>
      <vt:variant>
        <vt:lpwstr>http://www.undp.org/content/undp/en/home/operations/transparency/information_disclosurepolicy/</vt:lpwstr>
      </vt:variant>
      <vt:variant>
        <vt:lpwstr/>
      </vt:variant>
      <vt:variant>
        <vt:i4>4456564</vt:i4>
      </vt:variant>
      <vt:variant>
        <vt:i4>45</vt:i4>
      </vt:variant>
      <vt:variant>
        <vt:i4>0</vt:i4>
      </vt:variant>
      <vt:variant>
        <vt:i4>5</vt:i4>
      </vt:variant>
      <vt:variant>
        <vt:lpwstr>https://info.undp.org/sites/bpps/SES_Toolkit/default.aspx</vt:lpwstr>
      </vt:variant>
      <vt:variant>
        <vt:lpwstr/>
      </vt:variant>
      <vt:variant>
        <vt:i4>1769560</vt:i4>
      </vt:variant>
      <vt:variant>
        <vt:i4>42</vt:i4>
      </vt:variant>
      <vt:variant>
        <vt:i4>0</vt:i4>
      </vt:variant>
      <vt:variant>
        <vt:i4>5</vt:i4>
      </vt:variant>
      <vt:variant>
        <vt:lpwstr>http://www.undp.org/content/undp/en/home/operations/social-and-environmental-sustainability-in-undp/</vt:lpwstr>
      </vt:variant>
      <vt:variant>
        <vt:lpwstr/>
      </vt:variant>
      <vt:variant>
        <vt:i4>6488153</vt:i4>
      </vt:variant>
      <vt:variant>
        <vt:i4>39</vt:i4>
      </vt:variant>
      <vt:variant>
        <vt:i4>0</vt:i4>
      </vt:variant>
      <vt:variant>
        <vt:i4>5</vt:i4>
      </vt:variant>
      <vt:variant>
        <vt:lpwstr>https://www.thegef.org/gef/sites/thegef.org/files/documents/document/GEF6 Results Framework for GEFTF and LDCF.SCCF_.pdf</vt:lpwstr>
      </vt:variant>
      <vt:variant>
        <vt:lpwstr/>
      </vt:variant>
      <vt:variant>
        <vt:i4>4128875</vt:i4>
      </vt:variant>
      <vt:variant>
        <vt:i4>36</vt:i4>
      </vt:variant>
      <vt:variant>
        <vt:i4>0</vt:i4>
      </vt:variant>
      <vt:variant>
        <vt:i4>5</vt:i4>
      </vt:variant>
      <vt:variant>
        <vt:lpwstr>http://www.undp.org/content/undp/en/home/mdgoverview/post-2015-development-agenda.html</vt:lpwstr>
      </vt:variant>
      <vt:variant>
        <vt:lpwstr/>
      </vt:variant>
      <vt:variant>
        <vt:i4>7995450</vt:i4>
      </vt:variant>
      <vt:variant>
        <vt:i4>33</vt:i4>
      </vt:variant>
      <vt:variant>
        <vt:i4>0</vt:i4>
      </vt:variant>
      <vt:variant>
        <vt:i4>5</vt:i4>
      </vt:variant>
      <vt:variant>
        <vt:lpwstr>http://www.undp.org/content/dam/undp/library/corporate/UNDP_strategic-plan_14-17_v9_web.pdf</vt:lpwstr>
      </vt:variant>
      <vt:variant>
        <vt:lpwstr/>
      </vt:variant>
      <vt:variant>
        <vt:i4>1376269</vt:i4>
      </vt:variant>
      <vt:variant>
        <vt:i4>30</vt:i4>
      </vt:variant>
      <vt:variant>
        <vt:i4>0</vt:i4>
      </vt:variant>
      <vt:variant>
        <vt:i4>5</vt:i4>
      </vt:variant>
      <vt:variant>
        <vt:lpwstr>http://www.adb.org/documents/guidelines-preparing-design-and-monitoring-framework</vt:lpwstr>
      </vt:variant>
      <vt:variant>
        <vt:lpwstr/>
      </vt:variant>
      <vt:variant>
        <vt:i4>2031703</vt:i4>
      </vt:variant>
      <vt:variant>
        <vt:i4>27</vt:i4>
      </vt:variant>
      <vt:variant>
        <vt:i4>0</vt:i4>
      </vt:variant>
      <vt:variant>
        <vt:i4>5</vt:i4>
      </vt:variant>
      <vt:variant>
        <vt:lpwstr>http://siteresources.worldbank.org/EXTEVACAPDEV/Resources/designing_results_framework.pdf</vt:lpwstr>
      </vt:variant>
      <vt:variant>
        <vt:lpwstr/>
      </vt:variant>
      <vt:variant>
        <vt:i4>7209076</vt:i4>
      </vt:variant>
      <vt:variant>
        <vt:i4>24</vt:i4>
      </vt:variant>
      <vt:variant>
        <vt:i4>0</vt:i4>
      </vt:variant>
      <vt:variant>
        <vt:i4>5</vt:i4>
      </vt:variant>
      <vt:variant>
        <vt:lpwstr>http://wbi.worldbank.org/wbi/document/designing-multi-stakeholder-results-framework</vt:lpwstr>
      </vt:variant>
      <vt:variant>
        <vt:lpwstr/>
      </vt:variant>
      <vt:variant>
        <vt:i4>5701655</vt:i4>
      </vt:variant>
      <vt:variant>
        <vt:i4>21</vt:i4>
      </vt:variant>
      <vt:variant>
        <vt:i4>0</vt:i4>
      </vt:variant>
      <vt:variant>
        <vt:i4>5</vt:i4>
      </vt:variant>
      <vt:variant>
        <vt:lpwstr>http://www.undg.org/docs/12316/UNDG-RBM Handbook-2012.pdf</vt:lpwstr>
      </vt:variant>
      <vt:variant>
        <vt:lpwstr/>
      </vt:variant>
      <vt:variant>
        <vt:i4>3145837</vt:i4>
      </vt:variant>
      <vt:variant>
        <vt:i4>18</vt:i4>
      </vt:variant>
      <vt:variant>
        <vt:i4>0</vt:i4>
      </vt:variant>
      <vt:variant>
        <vt:i4>5</vt:i4>
      </vt:variant>
      <vt:variant>
        <vt:lpwstr>http://www.stapgef.org/</vt:lpwstr>
      </vt:variant>
      <vt:variant>
        <vt:lpwstr/>
      </vt:variant>
      <vt:variant>
        <vt:i4>4063291</vt:i4>
      </vt:variant>
      <vt:variant>
        <vt:i4>15</vt:i4>
      </vt:variant>
      <vt:variant>
        <vt:i4>0</vt:i4>
      </vt:variant>
      <vt:variant>
        <vt:i4>5</vt:i4>
      </vt:variant>
      <vt:variant>
        <vt:lpwstr>http://www.gefieo.org/ops/ops-6</vt:lpwstr>
      </vt:variant>
      <vt:variant>
        <vt:lpwstr/>
      </vt:variant>
      <vt:variant>
        <vt:i4>2293804</vt:i4>
      </vt:variant>
      <vt:variant>
        <vt:i4>12</vt:i4>
      </vt:variant>
      <vt:variant>
        <vt:i4>0</vt:i4>
      </vt:variant>
      <vt:variant>
        <vt:i4>5</vt:i4>
      </vt:variant>
      <vt:variant>
        <vt:lpwstr>http://www.thegef.org/gef/OPS5</vt:lpwstr>
      </vt:variant>
      <vt:variant>
        <vt:lpwstr/>
      </vt:variant>
      <vt:variant>
        <vt:i4>7536690</vt:i4>
      </vt:variant>
      <vt:variant>
        <vt:i4>9</vt:i4>
      </vt:variant>
      <vt:variant>
        <vt:i4>0</vt:i4>
      </vt:variant>
      <vt:variant>
        <vt:i4>5</vt:i4>
      </vt:variant>
      <vt:variant>
        <vt:lpwstr>https://popp.undp.org/SitePages/POPPSubject.aspx?SBJID=452&amp;Menu=BusinessUnit&amp;Beta=0</vt:lpwstr>
      </vt:variant>
      <vt:variant>
        <vt:lpwstr/>
      </vt:variant>
      <vt:variant>
        <vt:i4>2818130</vt:i4>
      </vt:variant>
      <vt:variant>
        <vt:i4>6</vt:i4>
      </vt:variant>
      <vt:variant>
        <vt:i4>0</vt:i4>
      </vt:variant>
      <vt:variant>
        <vt:i4>5</vt:i4>
      </vt:variant>
      <vt:variant>
        <vt:lpwstr>https://www.thegef.org/sites/default/files/documents/Project_Cancellation_Policy_20181220.pdf</vt:lpwstr>
      </vt:variant>
      <vt:variant>
        <vt:lpwstr/>
      </vt:variant>
      <vt:variant>
        <vt:i4>7864419</vt:i4>
      </vt:variant>
      <vt:variant>
        <vt:i4>3</vt:i4>
      </vt:variant>
      <vt:variant>
        <vt:i4>0</vt:i4>
      </vt:variant>
      <vt:variant>
        <vt:i4>5</vt:i4>
      </vt:variant>
      <vt:variant>
        <vt:lpwstr>https://info.undp.org/global/popp/ppm/Pages/Project-Management.aspx</vt:lpwstr>
      </vt:variant>
      <vt:variant>
        <vt:lpwstr/>
      </vt:variant>
      <vt:variant>
        <vt:i4>5570560</vt:i4>
      </vt:variant>
      <vt:variant>
        <vt:i4>0</vt:i4>
      </vt:variant>
      <vt:variant>
        <vt:i4>0</vt:i4>
      </vt:variant>
      <vt:variant>
        <vt:i4>5</vt:i4>
      </vt:variant>
      <vt:variant>
        <vt:lpwstr>https://www.thegef.org/about/funding</vt:lpwstr>
      </vt:variant>
      <vt:variant>
        <vt:lpwstr/>
      </vt:variant>
      <vt:variant>
        <vt:i4>6881390</vt:i4>
      </vt:variant>
      <vt:variant>
        <vt:i4>9</vt:i4>
      </vt:variant>
      <vt:variant>
        <vt:i4>0</vt:i4>
      </vt:variant>
      <vt:variant>
        <vt:i4>5</vt:i4>
      </vt:variant>
      <vt:variant>
        <vt:lpwstr>https://popp.undp.org/_layouts/15/WopiFrame.aspx?sourcedoc=/UNDP_POPP_DOCUMENT_LIBRARY/Public/PPM_Project%20Management_Closing.docx&amp;action=default</vt:lpwstr>
      </vt:variant>
      <vt:variant>
        <vt:lpwstr/>
      </vt:variant>
      <vt:variant>
        <vt:i4>6553643</vt:i4>
      </vt:variant>
      <vt:variant>
        <vt:i4>6</vt:i4>
      </vt:variant>
      <vt:variant>
        <vt:i4>0</vt:i4>
      </vt:variant>
      <vt:variant>
        <vt:i4>5</vt:i4>
      </vt:variant>
      <vt:variant>
        <vt:lpwstr>https://info.undp.org/global/popp/ppm/Pages/Closing-a-Project.aspx</vt:lpwstr>
      </vt:variant>
      <vt:variant>
        <vt:lpwstr/>
      </vt:variant>
      <vt:variant>
        <vt:i4>852086</vt:i4>
      </vt:variant>
      <vt:variant>
        <vt:i4>3</vt:i4>
      </vt:variant>
      <vt:variant>
        <vt:i4>0</vt:i4>
      </vt:variant>
      <vt:variant>
        <vt:i4>5</vt:i4>
      </vt:variant>
      <vt:variant>
        <vt:lpwstr>https://www.thegef.org/gef/policies_guidelines</vt:lpwstr>
      </vt:variant>
      <vt:variant>
        <vt:lpwstr/>
      </vt:variant>
      <vt:variant>
        <vt:i4>5</vt:i4>
      </vt:variant>
      <vt:variant>
        <vt:i4>0</vt:i4>
      </vt:variant>
      <vt:variant>
        <vt:i4>0</vt:i4>
      </vt:variant>
      <vt:variant>
        <vt:i4>5</vt:i4>
      </vt:variant>
      <vt:variant>
        <vt:lpwstr>https://www.thegef.org/council-meeting-documents/guidelines-project-and-program-cycle-policy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template for all vertical funds - CLEAN version</dc:title>
  <dc:subject>Project Management</dc:subject>
  <dc:creator>nancy.bennet@undp.org</dc:creator>
  <cp:keywords/>
  <dc:description/>
  <cp:lastModifiedBy>Ana Dakovic</cp:lastModifiedBy>
  <cp:revision>2</cp:revision>
  <cp:lastPrinted>2019-12-30T22:21:00Z</cp:lastPrinted>
  <dcterms:created xsi:type="dcterms:W3CDTF">2021-10-18T12:38:00Z</dcterms:created>
  <dcterms:modified xsi:type="dcterms:W3CDTF">2021-10-18T12:38:00Z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4bbae399-0aec-4d13-ab32-a3a924eb8387</vt:lpwstr>
  </property>
  <property fmtid="{D5CDD505-2E9C-101B-9397-08002B2CF9AE}" pid="4" name="_dlc_DocId">
    <vt:lpwstr>KKKATZMDSDUY-340-120</vt:lpwstr>
  </property>
  <property fmtid="{D5CDD505-2E9C-101B-9397-08002B2CF9AE}" pid="5" name="_dlc_DocIdUrl">
    <vt:lpwstr>https://intranet.undp.org/unit/bpps/sdev/gef/_layouts/15/DocIdRedir.aspx?ID=KKKATZMDSDUY-340-120, KKKATZMDSDUY-340-120</vt:lpwstr>
  </property>
  <property fmtid="{D5CDD505-2E9C-101B-9397-08002B2CF9AE}" pid="6" name="Description0">
    <vt:lpwstr/>
  </property>
  <property fmtid="{D5CDD505-2E9C-101B-9397-08002B2CF9AE}" pid="7" name="Category">
    <vt:lpwstr>Concept Design Phase</vt:lpwstr>
  </property>
  <property fmtid="{D5CDD505-2E9C-101B-9397-08002B2CF9AE}" pid="8" name="UNDPCountry">
    <vt:lpwstr>1533;#Montenegro|5152fafb-6870-4708-ae51-18265c91a86a</vt:lpwstr>
  </property>
  <property fmtid="{D5CDD505-2E9C-101B-9397-08002B2CF9AE}" pid="9" name="UNDPDocumentCategory">
    <vt:lpwstr/>
  </property>
  <property fmtid="{D5CDD505-2E9C-101B-9397-08002B2CF9AE}" pid="10" name="UN Languages">
    <vt:lpwstr>1;#English|7f98b732-4b5b-4b70-ba90-a0eff09b5d2d</vt:lpwstr>
  </property>
  <property fmtid="{D5CDD505-2E9C-101B-9397-08002B2CF9AE}" pid="11" name="Operating Unit0">
    <vt:lpwstr>1526;#MNE|9ee3332f-6fe8-4d8f-9979-fa72f0581153</vt:lpwstr>
  </property>
  <property fmtid="{D5CDD505-2E9C-101B-9397-08002B2CF9AE}" pid="12" name="Atlas Document Status">
    <vt:lpwstr>763;#Draft|121d40a5-e62e-4d42-82e4-d6d12003de0a</vt:lpwstr>
  </property>
  <property fmtid="{D5CDD505-2E9C-101B-9397-08002B2CF9AE}" pid="13" name="Atlas Document Type">
    <vt:lpwstr>1110;#Prodoc|099f975e-b4d9-4bba-a499-dbcc387c61ad</vt:lpwstr>
  </property>
  <property fmtid="{D5CDD505-2E9C-101B-9397-08002B2CF9AE}" pid="14" name="UndpUnitMM">
    <vt:lpwstr/>
  </property>
  <property fmtid="{D5CDD505-2E9C-101B-9397-08002B2CF9AE}" pid="15" name="eRegFilingCodeMM">
    <vt:lpwstr/>
  </property>
  <property fmtid="{D5CDD505-2E9C-101B-9397-08002B2CF9AE}" pid="16" name="UNDPFocusAreas">
    <vt:lpwstr>296;#Environment and Energy|507850c5-118d-4c78-99b1-c760df552b10</vt:lpwstr>
  </property>
  <property fmtid="{D5CDD505-2E9C-101B-9397-08002B2CF9AE}" pid="17" name="UndpDocTypeMM">
    <vt:lpwstr/>
  </property>
  <property fmtid="{D5CDD505-2E9C-101B-9397-08002B2CF9AE}" pid="18" name="DocumentSetDescription">
    <vt:lpwstr/>
  </property>
  <property fmtid="{D5CDD505-2E9C-101B-9397-08002B2CF9AE}" pid="19" name="UnitTaxHTField0">
    <vt:lpwstr/>
  </property>
  <property fmtid="{D5CDD505-2E9C-101B-9397-08002B2CF9AE}" pid="20" name="Unit">
    <vt:lpwstr/>
  </property>
  <property fmtid="{D5CDD505-2E9C-101B-9397-08002B2CF9AE}" pid="21" name="URL">
    <vt:lpwstr/>
  </property>
</Properties>
</file>